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2513"/>
        <w:gridCol w:w="6985"/>
      </w:tblGrid>
      <w:tr w:rsidR="00B53A27" w:rsidRPr="00936D55" w14:paraId="101428B9" w14:textId="77777777" w:rsidTr="003F6BC2">
        <w:trPr>
          <w:trHeight w:val="340"/>
        </w:trPr>
        <w:tc>
          <w:tcPr>
            <w:tcW w:w="2513" w:type="dxa"/>
            <w:shd w:val="clear" w:color="auto" w:fill="404040" w:themeFill="text1" w:themeFillTint="BF"/>
            <w:vAlign w:val="center"/>
          </w:tcPr>
          <w:p w14:paraId="0971A93B" w14:textId="6DEF5BD8"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Nombre del programa:</w:t>
            </w:r>
          </w:p>
        </w:tc>
        <w:tc>
          <w:tcPr>
            <w:tcW w:w="6985" w:type="dxa"/>
            <w:shd w:val="clear" w:color="auto" w:fill="F2F2F2" w:themeFill="background1" w:themeFillShade="F2"/>
            <w:vAlign w:val="center"/>
          </w:tcPr>
          <w:p w14:paraId="6875F3BB" w14:textId="1EEF480F" w:rsidR="00B53A27" w:rsidRPr="00936D55" w:rsidRDefault="007739DB" w:rsidP="00B53A27">
            <w:pPr>
              <w:spacing w:after="0" w:line="276" w:lineRule="auto"/>
              <w:rPr>
                <w:rFonts w:asciiTheme="minorHAnsi" w:hAnsiTheme="minorHAnsi" w:cstheme="minorHAnsi"/>
              </w:rPr>
            </w:pPr>
            <w:r>
              <w:rPr>
                <w:rFonts w:asciiTheme="minorHAnsi" w:hAnsiTheme="minorHAnsi" w:cstheme="minorHAnsi"/>
              </w:rPr>
              <w:t>P1</w:t>
            </w:r>
            <w:r w:rsidRPr="00F60503">
              <w:rPr>
                <w:rFonts w:asciiTheme="minorHAnsi" w:hAnsiTheme="minorHAnsi" w:cstheme="minorHAnsi"/>
              </w:rPr>
              <w:t>55</w:t>
            </w:r>
            <w:r w:rsidR="0098300C" w:rsidRPr="00F60503">
              <w:rPr>
                <w:rFonts w:asciiTheme="minorHAnsi" w:hAnsiTheme="minorHAnsi" w:cstheme="minorHAnsi"/>
              </w:rPr>
              <w:t xml:space="preserve"> </w:t>
            </w:r>
            <w:r w:rsidR="00F60503" w:rsidRPr="00F60503">
              <w:rPr>
                <w:rFonts w:asciiTheme="minorHAnsi" w:hAnsiTheme="minorHAnsi" w:cstheme="minorHAnsi"/>
                <w:lang w:val="es-ES"/>
              </w:rPr>
              <w:t>Política de prevención y promoción de los Derechos Humanos</w:t>
            </w:r>
          </w:p>
        </w:tc>
      </w:tr>
      <w:tr w:rsidR="00B53A27" w:rsidRPr="00936D55" w14:paraId="77CED2D0" w14:textId="77777777" w:rsidTr="003F6BC2">
        <w:trPr>
          <w:trHeight w:val="340"/>
        </w:trPr>
        <w:tc>
          <w:tcPr>
            <w:tcW w:w="2513" w:type="dxa"/>
            <w:shd w:val="clear" w:color="auto" w:fill="404040" w:themeFill="text1" w:themeFillTint="BF"/>
            <w:vAlign w:val="center"/>
          </w:tcPr>
          <w:p w14:paraId="706B083D" w14:textId="216B7FFA" w:rsidR="00B53A27" w:rsidRPr="00BD0258" w:rsidRDefault="00B53A27" w:rsidP="00B53A27">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Dependencia/entidad:</w:t>
            </w:r>
          </w:p>
        </w:tc>
        <w:tc>
          <w:tcPr>
            <w:tcW w:w="6985" w:type="dxa"/>
            <w:shd w:val="clear" w:color="auto" w:fill="F2F2F2" w:themeFill="background1" w:themeFillShade="F2"/>
            <w:vAlign w:val="center"/>
          </w:tcPr>
          <w:p w14:paraId="5527ED7E" w14:textId="4BB68EF2" w:rsidR="00B53A27" w:rsidRPr="00936D55" w:rsidRDefault="00223D11" w:rsidP="00B53A27">
            <w:pPr>
              <w:spacing w:after="0" w:line="276" w:lineRule="auto"/>
              <w:rPr>
                <w:rFonts w:asciiTheme="minorHAnsi" w:hAnsiTheme="minorHAnsi" w:cstheme="minorHAnsi"/>
              </w:rPr>
            </w:pPr>
            <w:r>
              <w:rPr>
                <w:rFonts w:asciiTheme="minorHAnsi" w:hAnsiTheme="minorHAnsi" w:cstheme="minorHAnsi"/>
              </w:rPr>
              <w:t>Comisión Estatal de Atención Integral a Victimas</w:t>
            </w:r>
          </w:p>
        </w:tc>
      </w:tr>
      <w:tr w:rsidR="007739DB" w:rsidRPr="00936D55" w14:paraId="0D97458B" w14:textId="77777777" w:rsidTr="003F6BC2">
        <w:trPr>
          <w:trHeight w:val="340"/>
        </w:trPr>
        <w:tc>
          <w:tcPr>
            <w:tcW w:w="2513" w:type="dxa"/>
            <w:shd w:val="clear" w:color="auto" w:fill="404040" w:themeFill="text1" w:themeFillTint="BF"/>
            <w:vAlign w:val="center"/>
          </w:tcPr>
          <w:p w14:paraId="547A5FCF" w14:textId="4C1B72BC" w:rsidR="007739DB" w:rsidRPr="00BD0258" w:rsidRDefault="007739DB" w:rsidP="007739DB">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Unidad responsable del programa:</w:t>
            </w:r>
          </w:p>
        </w:tc>
        <w:tc>
          <w:tcPr>
            <w:tcW w:w="6985" w:type="dxa"/>
            <w:shd w:val="clear" w:color="auto" w:fill="F2F2F2" w:themeFill="background1" w:themeFillShade="F2"/>
            <w:vAlign w:val="center"/>
          </w:tcPr>
          <w:p w14:paraId="75BA77EA" w14:textId="34F03950" w:rsidR="007739DB" w:rsidRPr="00936D55" w:rsidRDefault="007739DB" w:rsidP="007739DB">
            <w:pPr>
              <w:spacing w:after="0" w:line="276" w:lineRule="auto"/>
              <w:rPr>
                <w:rFonts w:asciiTheme="minorHAnsi" w:hAnsiTheme="minorHAnsi" w:cstheme="minorHAnsi"/>
              </w:rPr>
            </w:pPr>
            <w:r>
              <w:rPr>
                <w:rFonts w:asciiTheme="minorHAnsi" w:hAnsiTheme="minorHAnsi" w:cstheme="minorHAnsi"/>
              </w:rPr>
              <w:t>Comisión Estatal de Atención Integral a Victimas</w:t>
            </w:r>
          </w:p>
        </w:tc>
      </w:tr>
      <w:tr w:rsidR="007739DB" w:rsidRPr="00936D55" w14:paraId="5D32DA8A" w14:textId="77777777" w:rsidTr="003F6BC2">
        <w:trPr>
          <w:trHeight w:val="340"/>
        </w:trPr>
        <w:tc>
          <w:tcPr>
            <w:tcW w:w="2513" w:type="dxa"/>
            <w:shd w:val="clear" w:color="auto" w:fill="404040" w:themeFill="text1" w:themeFillTint="BF"/>
            <w:vAlign w:val="center"/>
          </w:tcPr>
          <w:p w14:paraId="7F53B0F2" w14:textId="2331D947" w:rsidR="007739DB" w:rsidRPr="00BD0258" w:rsidRDefault="007739DB" w:rsidP="007739DB">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Tipo de evaluación:</w:t>
            </w:r>
          </w:p>
        </w:tc>
        <w:tc>
          <w:tcPr>
            <w:tcW w:w="6985" w:type="dxa"/>
            <w:shd w:val="clear" w:color="auto" w:fill="F2F2F2" w:themeFill="background1" w:themeFillShade="F2"/>
            <w:vAlign w:val="center"/>
          </w:tcPr>
          <w:p w14:paraId="48B830BF" w14:textId="69F284F6" w:rsidR="007739DB" w:rsidRPr="00936D55" w:rsidRDefault="007739DB" w:rsidP="007739DB">
            <w:pPr>
              <w:spacing w:after="0" w:line="276" w:lineRule="auto"/>
              <w:rPr>
                <w:rFonts w:asciiTheme="minorHAnsi" w:hAnsiTheme="minorHAnsi" w:cstheme="minorHAnsi"/>
              </w:rPr>
            </w:pPr>
            <w:r>
              <w:rPr>
                <w:rFonts w:asciiTheme="minorHAnsi" w:hAnsiTheme="minorHAnsi" w:cstheme="minorHAnsi"/>
              </w:rPr>
              <w:t>Evaluación al Desempeño</w:t>
            </w:r>
          </w:p>
        </w:tc>
      </w:tr>
      <w:tr w:rsidR="007739DB" w:rsidRPr="00936D55" w14:paraId="5AC1B1FE" w14:textId="77777777" w:rsidTr="003F6BC2">
        <w:trPr>
          <w:trHeight w:val="340"/>
        </w:trPr>
        <w:tc>
          <w:tcPr>
            <w:tcW w:w="2513" w:type="dxa"/>
            <w:shd w:val="clear" w:color="auto" w:fill="404040" w:themeFill="text1" w:themeFillTint="BF"/>
            <w:vAlign w:val="center"/>
          </w:tcPr>
          <w:p w14:paraId="02F6C118" w14:textId="4049FF70" w:rsidR="007739DB" w:rsidRPr="00BD0258" w:rsidRDefault="007739DB" w:rsidP="007739DB">
            <w:pPr>
              <w:spacing w:after="0" w:line="276" w:lineRule="auto"/>
              <w:rPr>
                <w:rFonts w:asciiTheme="minorHAnsi" w:hAnsiTheme="minorHAnsi" w:cstheme="minorHAnsi"/>
                <w:b/>
                <w:color w:val="FFFFFF" w:themeColor="background1"/>
              </w:rPr>
            </w:pPr>
            <w:r w:rsidRPr="00BD0258">
              <w:rPr>
                <w:rFonts w:asciiTheme="minorHAnsi" w:hAnsiTheme="minorHAnsi" w:cstheme="minorHAnsi"/>
                <w:b/>
                <w:color w:val="FFFFFF" w:themeColor="background1"/>
              </w:rPr>
              <w:t>Año de evaluación:</w:t>
            </w:r>
          </w:p>
        </w:tc>
        <w:tc>
          <w:tcPr>
            <w:tcW w:w="6985" w:type="dxa"/>
            <w:shd w:val="clear" w:color="auto" w:fill="F2F2F2" w:themeFill="background1" w:themeFillShade="F2"/>
            <w:vAlign w:val="center"/>
          </w:tcPr>
          <w:p w14:paraId="4F5A6AD8" w14:textId="408B15DE" w:rsidR="007739DB" w:rsidRPr="00936D55" w:rsidRDefault="007739DB" w:rsidP="007739DB">
            <w:pPr>
              <w:spacing w:after="0" w:line="276" w:lineRule="auto"/>
              <w:rPr>
                <w:rFonts w:asciiTheme="minorHAnsi" w:hAnsiTheme="minorHAnsi" w:cstheme="minorHAnsi"/>
              </w:rPr>
            </w:pPr>
            <w:r>
              <w:rPr>
                <w:rFonts w:asciiTheme="minorHAnsi" w:hAnsiTheme="minorHAnsi" w:cstheme="minorHAnsi"/>
              </w:rPr>
              <w:t>2023</w:t>
            </w:r>
          </w:p>
        </w:tc>
      </w:tr>
    </w:tbl>
    <w:p w14:paraId="304FB691" w14:textId="19766F50" w:rsidR="00B53A27" w:rsidRDefault="00B53A27" w:rsidP="0083413E">
      <w:pPr>
        <w:spacing w:after="0"/>
        <w:rPr>
          <w:rFonts w:asciiTheme="minorHAnsi" w:hAnsiTheme="minorHAnsi" w:cstheme="minorHAnsi"/>
        </w:rPr>
      </w:pPr>
    </w:p>
    <w:p w14:paraId="40A610DC" w14:textId="77777777" w:rsidR="0012014A" w:rsidRPr="00936D55" w:rsidRDefault="0012014A" w:rsidP="0083413E">
      <w:pPr>
        <w:spacing w:after="0"/>
        <w:rPr>
          <w:rFonts w:asciiTheme="minorHAnsi" w:hAnsiTheme="minorHAnsi" w:cstheme="minorHAnsi"/>
        </w:rPr>
      </w:pPr>
    </w:p>
    <w:tbl>
      <w:tblPr>
        <w:tblStyle w:val="Tablaconcuadrcula"/>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651D32"/>
        <w:tblLook w:val="04A0" w:firstRow="1" w:lastRow="0" w:firstColumn="1" w:lastColumn="0" w:noHBand="0" w:noVBand="1"/>
      </w:tblPr>
      <w:tblGrid>
        <w:gridCol w:w="9498"/>
      </w:tblGrid>
      <w:tr w:rsidR="00B53A27" w:rsidRPr="00936D55" w14:paraId="4C436188" w14:textId="77777777" w:rsidTr="003F6BC2">
        <w:trPr>
          <w:trHeight w:val="340"/>
        </w:trPr>
        <w:tc>
          <w:tcPr>
            <w:tcW w:w="9498" w:type="dxa"/>
            <w:shd w:val="clear" w:color="auto" w:fill="404040" w:themeFill="text1" w:themeFillTint="BF"/>
            <w:vAlign w:val="center"/>
          </w:tcPr>
          <w:p w14:paraId="5F5147FB" w14:textId="10C310E4" w:rsidR="00B53A27" w:rsidRPr="00BD0258" w:rsidRDefault="00B53A27" w:rsidP="00936D55">
            <w:pPr>
              <w:pStyle w:val="Prrafodelista"/>
              <w:numPr>
                <w:ilvl w:val="0"/>
                <w:numId w:val="5"/>
              </w:numPr>
              <w:spacing w:after="0" w:line="276" w:lineRule="auto"/>
              <w:jc w:val="center"/>
              <w:rPr>
                <w:rFonts w:asciiTheme="minorHAnsi" w:hAnsiTheme="minorHAnsi" w:cstheme="minorHAnsi"/>
                <w:b/>
                <w:color w:val="FFFFFF" w:themeColor="background1"/>
              </w:rPr>
            </w:pPr>
            <w:bookmarkStart w:id="0" w:name="_Hlk106191400"/>
            <w:r w:rsidRPr="00BD0258">
              <w:rPr>
                <w:rFonts w:asciiTheme="minorHAnsi" w:hAnsiTheme="minorHAnsi" w:cstheme="minorHAnsi"/>
                <w:b/>
                <w:color w:val="FFFFFF" w:themeColor="background1"/>
              </w:rPr>
              <w:t>Uso de las recomendaciones de la evaluación</w:t>
            </w:r>
          </w:p>
        </w:tc>
      </w:tr>
    </w:tbl>
    <w:p w14:paraId="52F765FE" w14:textId="77777777" w:rsidR="00936D55" w:rsidRPr="00936D55" w:rsidRDefault="00936D55" w:rsidP="00936D55">
      <w:pPr>
        <w:spacing w:after="0" w:line="240" w:lineRule="auto"/>
        <w:rPr>
          <w:sz w:val="10"/>
          <w:szCs w:val="10"/>
        </w:rPr>
      </w:pPr>
    </w:p>
    <w:tbl>
      <w:tblPr>
        <w:tblStyle w:val="Tablaconcuadrcula"/>
        <w:tblpPr w:leftFromText="141" w:rightFromText="141" w:vertAnchor="text" w:tblpY="1"/>
        <w:tblOverlap w:val="never"/>
        <w:tblW w:w="9460"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1980"/>
        <w:gridCol w:w="3118"/>
        <w:gridCol w:w="2412"/>
        <w:gridCol w:w="1950"/>
      </w:tblGrid>
      <w:tr w:rsidR="00BD0258" w:rsidRPr="00FB26D4" w14:paraId="144EB42F" w14:textId="77777777" w:rsidTr="000001C1">
        <w:trPr>
          <w:trHeight w:val="886"/>
          <w:tblHeader/>
        </w:trPr>
        <w:tc>
          <w:tcPr>
            <w:tcW w:w="1980" w:type="dxa"/>
            <w:shd w:val="clear" w:color="auto" w:fill="404040" w:themeFill="text1" w:themeFillTint="BF"/>
            <w:vAlign w:val="center"/>
          </w:tcPr>
          <w:bookmarkEnd w:id="0"/>
          <w:p w14:paraId="5F99BE5F" w14:textId="75E20655" w:rsidR="00936D55" w:rsidRPr="00FB26D4" w:rsidRDefault="00936D55" w:rsidP="0012014A">
            <w:pPr>
              <w:spacing w:after="0" w:line="276" w:lineRule="auto"/>
              <w:jc w:val="center"/>
              <w:rPr>
                <w:rFonts w:asciiTheme="minorHAnsi" w:hAnsiTheme="minorHAnsi" w:cstheme="minorHAnsi"/>
                <w:b/>
                <w:color w:val="FFFFFF" w:themeColor="background1"/>
                <w:sz w:val="21"/>
                <w:szCs w:val="21"/>
              </w:rPr>
            </w:pPr>
            <w:r w:rsidRPr="00FB26D4">
              <w:rPr>
                <w:rFonts w:asciiTheme="minorHAnsi" w:hAnsiTheme="minorHAnsi" w:cstheme="minorHAnsi"/>
                <w:b/>
                <w:color w:val="FFFFFF" w:themeColor="background1"/>
                <w:sz w:val="21"/>
                <w:szCs w:val="21"/>
              </w:rPr>
              <w:t>Sección</w:t>
            </w:r>
          </w:p>
        </w:tc>
        <w:tc>
          <w:tcPr>
            <w:tcW w:w="3118" w:type="dxa"/>
            <w:shd w:val="clear" w:color="auto" w:fill="404040" w:themeFill="text1" w:themeFillTint="BF"/>
            <w:vAlign w:val="center"/>
          </w:tcPr>
          <w:p w14:paraId="28293800" w14:textId="7B19EFCC" w:rsidR="00936D55" w:rsidRPr="00FB26D4" w:rsidRDefault="00936D55" w:rsidP="0012014A">
            <w:pPr>
              <w:spacing w:after="0" w:line="276" w:lineRule="auto"/>
              <w:jc w:val="center"/>
              <w:rPr>
                <w:rFonts w:asciiTheme="minorHAnsi" w:hAnsiTheme="minorHAnsi" w:cstheme="minorHAnsi"/>
                <w:b/>
                <w:color w:val="FFFFFF" w:themeColor="background1"/>
                <w:sz w:val="21"/>
                <w:szCs w:val="21"/>
              </w:rPr>
            </w:pPr>
            <w:r w:rsidRPr="00FB26D4">
              <w:rPr>
                <w:rFonts w:asciiTheme="minorHAnsi" w:hAnsiTheme="minorHAnsi" w:cstheme="minorHAnsi"/>
                <w:b/>
                <w:color w:val="FFFFFF" w:themeColor="background1"/>
                <w:sz w:val="21"/>
                <w:szCs w:val="21"/>
              </w:rPr>
              <w:t>Texto del Informe</w:t>
            </w:r>
          </w:p>
        </w:tc>
        <w:tc>
          <w:tcPr>
            <w:tcW w:w="2412" w:type="dxa"/>
            <w:shd w:val="clear" w:color="auto" w:fill="404040" w:themeFill="text1" w:themeFillTint="BF"/>
            <w:vAlign w:val="center"/>
          </w:tcPr>
          <w:p w14:paraId="50562AA5" w14:textId="2D116E4E" w:rsidR="00936D55" w:rsidRPr="00FB26D4" w:rsidRDefault="00936D55" w:rsidP="0012014A">
            <w:pPr>
              <w:spacing w:after="0" w:line="276" w:lineRule="auto"/>
              <w:jc w:val="center"/>
              <w:rPr>
                <w:rFonts w:asciiTheme="minorHAnsi" w:hAnsiTheme="minorHAnsi" w:cstheme="minorHAnsi"/>
                <w:b/>
                <w:color w:val="FFFFFF" w:themeColor="background1"/>
                <w:sz w:val="21"/>
                <w:szCs w:val="21"/>
              </w:rPr>
            </w:pPr>
            <w:r w:rsidRPr="00FB26D4">
              <w:rPr>
                <w:rFonts w:asciiTheme="minorHAnsi" w:hAnsiTheme="minorHAnsi" w:cstheme="minorHAnsi"/>
                <w:b/>
                <w:color w:val="FFFFFF" w:themeColor="background1"/>
                <w:sz w:val="21"/>
                <w:szCs w:val="21"/>
              </w:rPr>
              <w:t>Punto de vista de la Dependencia o Entidad</w:t>
            </w:r>
          </w:p>
        </w:tc>
        <w:tc>
          <w:tcPr>
            <w:tcW w:w="1950" w:type="dxa"/>
            <w:shd w:val="clear" w:color="auto" w:fill="404040" w:themeFill="text1" w:themeFillTint="BF"/>
            <w:vAlign w:val="center"/>
          </w:tcPr>
          <w:p w14:paraId="14AEE332" w14:textId="0A5A8B4D" w:rsidR="00936D55" w:rsidRPr="00FB26D4" w:rsidRDefault="00861D0A" w:rsidP="0012014A">
            <w:pPr>
              <w:spacing w:after="0" w:line="276" w:lineRule="auto"/>
              <w:jc w:val="center"/>
              <w:rPr>
                <w:rFonts w:asciiTheme="minorHAnsi" w:hAnsiTheme="minorHAnsi" w:cstheme="minorHAnsi"/>
                <w:b/>
                <w:color w:val="FFFFFF" w:themeColor="background1"/>
                <w:sz w:val="21"/>
                <w:szCs w:val="21"/>
              </w:rPr>
            </w:pPr>
            <w:r w:rsidRPr="00FB26D4">
              <w:rPr>
                <w:rFonts w:asciiTheme="minorHAnsi" w:hAnsiTheme="minorHAnsi" w:cstheme="minorHAnsi"/>
                <w:b/>
                <w:color w:val="FFFFFF" w:themeColor="background1"/>
                <w:sz w:val="21"/>
                <w:szCs w:val="21"/>
              </w:rPr>
              <w:t>Actividad</w:t>
            </w:r>
            <w:r w:rsidR="00936D55" w:rsidRPr="00FB26D4">
              <w:rPr>
                <w:rFonts w:asciiTheme="minorHAnsi" w:hAnsiTheme="minorHAnsi" w:cstheme="minorHAnsi"/>
                <w:b/>
                <w:color w:val="FFFFFF" w:themeColor="background1"/>
                <w:sz w:val="21"/>
                <w:szCs w:val="21"/>
              </w:rPr>
              <w:t xml:space="preserve"> de mejora derivada de la evaluación</w:t>
            </w:r>
          </w:p>
        </w:tc>
      </w:tr>
      <w:tr w:rsidR="001C1825" w:rsidRPr="00FB26D4" w14:paraId="3F02C46D" w14:textId="77777777" w:rsidTr="000001C1">
        <w:tc>
          <w:tcPr>
            <w:tcW w:w="1980" w:type="dxa"/>
            <w:tcBorders>
              <w:bottom w:val="single" w:sz="4" w:space="0" w:color="F2F2F2" w:themeColor="background1" w:themeShade="F2"/>
            </w:tcBorders>
            <w:vAlign w:val="center"/>
          </w:tcPr>
          <w:p w14:paraId="70425297" w14:textId="27D32131" w:rsidR="00936D55" w:rsidRPr="00FB26D4" w:rsidRDefault="00936D55" w:rsidP="0012014A">
            <w:pPr>
              <w:spacing w:after="0" w:line="276" w:lineRule="auto"/>
              <w:rPr>
                <w:rFonts w:cs="Calibri"/>
                <w:sz w:val="21"/>
                <w:szCs w:val="21"/>
              </w:rPr>
            </w:pPr>
            <w:r w:rsidRPr="00FB26D4">
              <w:rPr>
                <w:rFonts w:cs="Calibri"/>
                <w:sz w:val="21"/>
                <w:szCs w:val="21"/>
              </w:rPr>
              <w:t xml:space="preserve">Informe                   / Recomendaciones / </w:t>
            </w:r>
          </w:p>
          <w:p w14:paraId="2A631956" w14:textId="266E4B0F" w:rsidR="00936D55" w:rsidRPr="00FB26D4" w:rsidRDefault="00936D55" w:rsidP="002729A3">
            <w:pPr>
              <w:spacing w:after="0" w:line="276" w:lineRule="auto"/>
              <w:rPr>
                <w:rFonts w:cs="Calibri"/>
                <w:b/>
                <w:sz w:val="21"/>
                <w:szCs w:val="21"/>
              </w:rPr>
            </w:pPr>
            <w:r w:rsidRPr="00FB26D4">
              <w:rPr>
                <w:rFonts w:cs="Calibri"/>
                <w:b/>
                <w:sz w:val="21"/>
                <w:szCs w:val="21"/>
              </w:rPr>
              <w:t>1</w:t>
            </w:r>
          </w:p>
        </w:tc>
        <w:tc>
          <w:tcPr>
            <w:tcW w:w="3118" w:type="dxa"/>
            <w:tcBorders>
              <w:bottom w:val="single" w:sz="4" w:space="0" w:color="F2F2F2" w:themeColor="background1" w:themeShade="F2"/>
            </w:tcBorders>
            <w:vAlign w:val="center"/>
          </w:tcPr>
          <w:p w14:paraId="69358FBE" w14:textId="718034AF" w:rsidR="00936D55" w:rsidRPr="00FB26D4" w:rsidRDefault="006D5144" w:rsidP="0012014A">
            <w:pPr>
              <w:spacing w:line="276" w:lineRule="auto"/>
              <w:ind w:left="113" w:right="170"/>
              <w:jc w:val="both"/>
              <w:rPr>
                <w:rFonts w:cs="Calibri"/>
                <w:sz w:val="21"/>
                <w:szCs w:val="21"/>
                <w:lang w:val="es-ES"/>
              </w:rPr>
            </w:pPr>
            <w:r w:rsidRPr="00FB26D4">
              <w:rPr>
                <w:rFonts w:cs="Calibri"/>
                <w:sz w:val="21"/>
                <w:szCs w:val="21"/>
              </w:rPr>
              <w:t>Implementar para ejercicios subsecuentes el PbR y la MIR, de acuerdo con la Metodología del Marco Lógico</w:t>
            </w:r>
          </w:p>
          <w:p w14:paraId="36CFBCCD" w14:textId="7B601A52" w:rsidR="0012014A" w:rsidRPr="00FB26D4" w:rsidRDefault="0012014A" w:rsidP="0012014A">
            <w:pPr>
              <w:spacing w:line="276" w:lineRule="auto"/>
              <w:ind w:left="113" w:right="170"/>
              <w:jc w:val="both"/>
              <w:rPr>
                <w:rFonts w:cs="Calibri"/>
                <w:sz w:val="21"/>
                <w:szCs w:val="21"/>
                <w:lang w:val="es-ES"/>
              </w:rPr>
            </w:pPr>
          </w:p>
        </w:tc>
        <w:tc>
          <w:tcPr>
            <w:tcW w:w="2412" w:type="dxa"/>
            <w:tcBorders>
              <w:bottom w:val="single" w:sz="4" w:space="0" w:color="F2F2F2" w:themeColor="background1" w:themeShade="F2"/>
            </w:tcBorders>
            <w:vAlign w:val="center"/>
          </w:tcPr>
          <w:p w14:paraId="5A8AE607" w14:textId="4AAC92DD" w:rsidR="0056725C" w:rsidRPr="00FB26D4" w:rsidRDefault="006D5144" w:rsidP="0012014A">
            <w:pPr>
              <w:spacing w:after="0" w:line="276" w:lineRule="auto"/>
              <w:jc w:val="both"/>
              <w:rPr>
                <w:rFonts w:cs="Calibri"/>
                <w:sz w:val="21"/>
                <w:szCs w:val="21"/>
              </w:rPr>
            </w:pPr>
            <w:r w:rsidRPr="00FB26D4">
              <w:rPr>
                <w:rFonts w:cs="Calibri"/>
                <w:sz w:val="21"/>
                <w:szCs w:val="21"/>
              </w:rPr>
              <w:t>Somos conscientes del incumplimiento en que se está incurriendo al no contar con un PBR y una MIR entre otras deficiencias normativas, por lo que en el ejercicio 2024 se inició un proceso de institucionalización, contemplamos la implementación del PBR y MIR para el ejercicio 2025</w:t>
            </w:r>
          </w:p>
        </w:tc>
        <w:tc>
          <w:tcPr>
            <w:tcW w:w="1950" w:type="dxa"/>
            <w:tcBorders>
              <w:bottom w:val="single" w:sz="4" w:space="0" w:color="F2F2F2" w:themeColor="background1" w:themeShade="F2"/>
            </w:tcBorders>
            <w:vAlign w:val="center"/>
          </w:tcPr>
          <w:p w14:paraId="1DA7876B" w14:textId="40DDBFED" w:rsidR="00193C7B" w:rsidRPr="00FB26D4" w:rsidRDefault="006D5144" w:rsidP="00193C7B">
            <w:pPr>
              <w:spacing w:after="0" w:line="276" w:lineRule="auto"/>
              <w:jc w:val="both"/>
              <w:rPr>
                <w:rFonts w:cs="Calibri"/>
                <w:sz w:val="21"/>
                <w:szCs w:val="21"/>
              </w:rPr>
            </w:pPr>
            <w:r w:rsidRPr="00FB26D4">
              <w:rPr>
                <w:rFonts w:cs="Calibri"/>
                <w:sz w:val="21"/>
                <w:szCs w:val="21"/>
              </w:rPr>
              <w:t xml:space="preserve">Implementar el PBR 2025 bajo </w:t>
            </w:r>
            <w:r w:rsidR="008F64B5" w:rsidRPr="00FB26D4">
              <w:rPr>
                <w:rFonts w:cs="Calibri"/>
                <w:sz w:val="21"/>
                <w:szCs w:val="21"/>
              </w:rPr>
              <w:t>Metodología</w:t>
            </w:r>
            <w:r w:rsidRPr="00FB26D4">
              <w:rPr>
                <w:rFonts w:cs="Calibri"/>
                <w:sz w:val="21"/>
                <w:szCs w:val="21"/>
              </w:rPr>
              <w:t xml:space="preserve"> del </w:t>
            </w:r>
            <w:r w:rsidR="008F64B5" w:rsidRPr="00FB26D4">
              <w:rPr>
                <w:rFonts w:cs="Calibri"/>
                <w:sz w:val="21"/>
                <w:szCs w:val="21"/>
              </w:rPr>
              <w:t>M</w:t>
            </w:r>
            <w:r w:rsidRPr="00FB26D4">
              <w:rPr>
                <w:rFonts w:cs="Calibri"/>
                <w:sz w:val="21"/>
                <w:szCs w:val="21"/>
              </w:rPr>
              <w:t xml:space="preserve">arco </w:t>
            </w:r>
            <w:r w:rsidR="008F64B5" w:rsidRPr="00FB26D4">
              <w:rPr>
                <w:rFonts w:cs="Calibri"/>
                <w:sz w:val="21"/>
                <w:szCs w:val="21"/>
              </w:rPr>
              <w:t>L</w:t>
            </w:r>
            <w:r w:rsidRPr="00FB26D4">
              <w:rPr>
                <w:rFonts w:cs="Calibri"/>
                <w:sz w:val="21"/>
                <w:szCs w:val="21"/>
              </w:rPr>
              <w:t xml:space="preserve">ógico y  </w:t>
            </w:r>
            <w:r w:rsidRPr="00FB26D4">
              <w:rPr>
                <w:sz w:val="21"/>
                <w:szCs w:val="21"/>
              </w:rPr>
              <w:t xml:space="preserve"> d</w:t>
            </w:r>
            <w:r w:rsidRPr="00FB26D4">
              <w:rPr>
                <w:rFonts w:cs="Calibri"/>
                <w:sz w:val="21"/>
                <w:szCs w:val="21"/>
              </w:rPr>
              <w:t>efinir la MIR para el ejercicio 2025</w:t>
            </w:r>
          </w:p>
        </w:tc>
      </w:tr>
      <w:tr w:rsidR="008F64B5" w:rsidRPr="00FB26D4" w14:paraId="7E60CDC3" w14:textId="77777777" w:rsidTr="000001C1">
        <w:tc>
          <w:tcPr>
            <w:tcW w:w="1980" w:type="dxa"/>
            <w:tcBorders>
              <w:top w:val="single" w:sz="4" w:space="0" w:color="auto"/>
            </w:tcBorders>
            <w:vAlign w:val="center"/>
          </w:tcPr>
          <w:p w14:paraId="0E42C1C9" w14:textId="77777777" w:rsidR="008F64B5" w:rsidRPr="00FB26D4" w:rsidRDefault="008F64B5" w:rsidP="008F64B5">
            <w:pPr>
              <w:spacing w:after="0" w:line="276" w:lineRule="auto"/>
              <w:rPr>
                <w:rFonts w:cs="Calibri"/>
                <w:sz w:val="21"/>
                <w:szCs w:val="21"/>
              </w:rPr>
            </w:pPr>
            <w:r w:rsidRPr="00FB26D4">
              <w:rPr>
                <w:rFonts w:cs="Calibri"/>
                <w:sz w:val="21"/>
                <w:szCs w:val="21"/>
              </w:rPr>
              <w:t xml:space="preserve">Informe                   / Recomendaciones / </w:t>
            </w:r>
          </w:p>
          <w:p w14:paraId="5E1FC693" w14:textId="3210E229" w:rsidR="008F64B5" w:rsidRPr="00FB26D4" w:rsidRDefault="008F64B5" w:rsidP="008F64B5">
            <w:pPr>
              <w:spacing w:after="0" w:line="276" w:lineRule="auto"/>
              <w:rPr>
                <w:rFonts w:cs="Calibri"/>
                <w:sz w:val="21"/>
                <w:szCs w:val="21"/>
              </w:rPr>
            </w:pPr>
            <w:r w:rsidRPr="00FB26D4">
              <w:rPr>
                <w:rFonts w:cs="Calibri"/>
                <w:b/>
                <w:sz w:val="21"/>
                <w:szCs w:val="21"/>
              </w:rPr>
              <w:t>2</w:t>
            </w:r>
          </w:p>
        </w:tc>
        <w:tc>
          <w:tcPr>
            <w:tcW w:w="3118" w:type="dxa"/>
            <w:tcBorders>
              <w:top w:val="single" w:sz="4" w:space="0" w:color="auto"/>
            </w:tcBorders>
            <w:vAlign w:val="center"/>
          </w:tcPr>
          <w:p w14:paraId="0411E918" w14:textId="25F6D57B" w:rsidR="008F64B5" w:rsidRPr="00FB26D4" w:rsidRDefault="008F64B5" w:rsidP="008F64B5">
            <w:pPr>
              <w:spacing w:after="0" w:line="276" w:lineRule="auto"/>
              <w:jc w:val="both"/>
              <w:rPr>
                <w:rFonts w:cs="Calibri"/>
                <w:sz w:val="21"/>
                <w:szCs w:val="21"/>
              </w:rPr>
            </w:pPr>
            <w:r w:rsidRPr="00FB26D4">
              <w:rPr>
                <w:rFonts w:cs="Calibri"/>
                <w:sz w:val="21"/>
                <w:szCs w:val="21"/>
              </w:rPr>
              <w:t>Definir</w:t>
            </w:r>
            <w:r w:rsidR="000001C1" w:rsidRPr="00FB26D4">
              <w:rPr>
                <w:rFonts w:cs="Calibri"/>
                <w:sz w:val="21"/>
                <w:szCs w:val="21"/>
              </w:rPr>
              <w:t xml:space="preserve"> </w:t>
            </w:r>
            <w:r w:rsidRPr="00FB26D4">
              <w:rPr>
                <w:rFonts w:cs="Calibri"/>
                <w:sz w:val="21"/>
                <w:szCs w:val="21"/>
              </w:rPr>
              <w:t>una metodología y/o criterio para delimitar la población potencial y atendida</w:t>
            </w:r>
          </w:p>
        </w:tc>
        <w:tc>
          <w:tcPr>
            <w:tcW w:w="2412" w:type="dxa"/>
            <w:tcBorders>
              <w:top w:val="single" w:sz="4" w:space="0" w:color="auto"/>
            </w:tcBorders>
            <w:vAlign w:val="center"/>
          </w:tcPr>
          <w:p w14:paraId="3E280294" w14:textId="5E0C9C66" w:rsidR="008F64B5" w:rsidRPr="00FB26D4" w:rsidRDefault="000001C1" w:rsidP="008F64B5">
            <w:pPr>
              <w:spacing w:after="0" w:line="276" w:lineRule="auto"/>
              <w:jc w:val="both"/>
              <w:rPr>
                <w:rFonts w:cs="Calibri"/>
                <w:sz w:val="21"/>
                <w:szCs w:val="21"/>
              </w:rPr>
            </w:pPr>
            <w:r w:rsidRPr="00FB26D4">
              <w:rPr>
                <w:rFonts w:cs="Calibri"/>
                <w:sz w:val="21"/>
                <w:szCs w:val="21"/>
              </w:rPr>
              <w:t xml:space="preserve"> No se cuenta con </w:t>
            </w:r>
            <w:r w:rsidR="002557B4" w:rsidRPr="00FB26D4">
              <w:rPr>
                <w:rFonts w:cs="Calibri"/>
                <w:sz w:val="21"/>
                <w:szCs w:val="21"/>
              </w:rPr>
              <w:t xml:space="preserve">una metodología para la definición de la población potencial y en cuanto a la población atendida, se cuenta con </w:t>
            </w:r>
            <w:r w:rsidR="009D6DFA" w:rsidRPr="00FB26D4">
              <w:rPr>
                <w:rFonts w:cs="Calibri"/>
                <w:sz w:val="21"/>
                <w:szCs w:val="21"/>
              </w:rPr>
              <w:t>estadísticas</w:t>
            </w:r>
            <w:r w:rsidRPr="00FB26D4">
              <w:rPr>
                <w:rFonts w:cs="Calibri"/>
                <w:sz w:val="21"/>
                <w:szCs w:val="21"/>
              </w:rPr>
              <w:t>,</w:t>
            </w:r>
            <w:r w:rsidR="009D6DFA" w:rsidRPr="00FB26D4">
              <w:rPr>
                <w:rFonts w:cs="Calibri"/>
                <w:sz w:val="21"/>
                <w:szCs w:val="21"/>
              </w:rPr>
              <w:t xml:space="preserve"> sin embargo es </w:t>
            </w:r>
            <w:r w:rsidRPr="00FB26D4">
              <w:rPr>
                <w:rFonts w:cs="Calibri"/>
                <w:sz w:val="21"/>
                <w:szCs w:val="21"/>
              </w:rPr>
              <w:t xml:space="preserve">necesario el desarrollo de </w:t>
            </w:r>
            <w:proofErr w:type="gramStart"/>
            <w:r w:rsidRPr="00FB26D4">
              <w:rPr>
                <w:rFonts w:cs="Calibri"/>
                <w:sz w:val="21"/>
                <w:szCs w:val="21"/>
              </w:rPr>
              <w:t>un  software</w:t>
            </w:r>
            <w:proofErr w:type="gramEnd"/>
            <w:r w:rsidRPr="00FB26D4">
              <w:rPr>
                <w:rFonts w:cs="Calibri"/>
                <w:sz w:val="21"/>
                <w:szCs w:val="21"/>
              </w:rPr>
              <w:t xml:space="preserve"> que nos facilite este trabajo</w:t>
            </w:r>
            <w:r w:rsidR="009D6DFA" w:rsidRPr="00FB26D4">
              <w:rPr>
                <w:rFonts w:cs="Calibri"/>
                <w:sz w:val="21"/>
                <w:szCs w:val="21"/>
              </w:rPr>
              <w:t xml:space="preserve"> y de mayor certeza a la información.</w:t>
            </w:r>
            <w:r w:rsidR="008F64B5" w:rsidRPr="00FB26D4">
              <w:rPr>
                <w:rFonts w:asciiTheme="minorHAnsi" w:hAnsiTheme="minorHAnsi" w:cstheme="minorHAnsi"/>
                <w:b/>
                <w:sz w:val="21"/>
                <w:szCs w:val="21"/>
              </w:rPr>
              <w:t xml:space="preserve"> </w:t>
            </w:r>
          </w:p>
        </w:tc>
        <w:tc>
          <w:tcPr>
            <w:tcW w:w="1950" w:type="dxa"/>
            <w:tcBorders>
              <w:top w:val="single" w:sz="4" w:space="0" w:color="auto"/>
            </w:tcBorders>
            <w:vAlign w:val="center"/>
          </w:tcPr>
          <w:p w14:paraId="1FF7BED6" w14:textId="5990E039" w:rsidR="008F64B5" w:rsidRPr="00FB26D4" w:rsidRDefault="002557B4" w:rsidP="008F64B5">
            <w:pPr>
              <w:spacing w:after="0" w:line="276" w:lineRule="auto"/>
              <w:jc w:val="both"/>
              <w:rPr>
                <w:rFonts w:cs="Calibri"/>
                <w:sz w:val="21"/>
                <w:szCs w:val="21"/>
              </w:rPr>
            </w:pPr>
            <w:r w:rsidRPr="00FB26D4">
              <w:rPr>
                <w:rFonts w:cs="Calibri"/>
                <w:sz w:val="21"/>
                <w:szCs w:val="21"/>
              </w:rPr>
              <w:t xml:space="preserve">Establecer </w:t>
            </w:r>
            <w:r w:rsidR="00157FD0" w:rsidRPr="00FB26D4">
              <w:rPr>
                <w:rFonts w:cs="Calibri"/>
                <w:sz w:val="21"/>
                <w:szCs w:val="21"/>
              </w:rPr>
              <w:t xml:space="preserve">una </w:t>
            </w:r>
            <w:r w:rsidRPr="00FB26D4">
              <w:rPr>
                <w:rFonts w:cs="Calibri"/>
                <w:sz w:val="21"/>
                <w:szCs w:val="21"/>
              </w:rPr>
              <w:t>metodología para delimitar población potencial y atendida</w:t>
            </w:r>
          </w:p>
        </w:tc>
      </w:tr>
      <w:tr w:rsidR="008F64B5" w:rsidRPr="00FB26D4" w14:paraId="4D3DAD0C" w14:textId="77777777" w:rsidTr="000001C1">
        <w:tc>
          <w:tcPr>
            <w:tcW w:w="1980" w:type="dxa"/>
            <w:tcBorders>
              <w:top w:val="single" w:sz="4" w:space="0" w:color="auto"/>
              <w:bottom w:val="single" w:sz="4" w:space="0" w:color="F2F2F2" w:themeColor="background1" w:themeShade="F2"/>
            </w:tcBorders>
            <w:vAlign w:val="center"/>
          </w:tcPr>
          <w:p w14:paraId="6836580C" w14:textId="23BCBA0D" w:rsidR="008F64B5" w:rsidRPr="00FB26D4" w:rsidRDefault="008F64B5" w:rsidP="008F64B5">
            <w:pPr>
              <w:spacing w:after="0" w:line="276" w:lineRule="auto"/>
              <w:jc w:val="center"/>
              <w:rPr>
                <w:rFonts w:cs="Calibri"/>
                <w:b/>
                <w:sz w:val="21"/>
                <w:szCs w:val="21"/>
                <w:highlight w:val="yellow"/>
              </w:rPr>
            </w:pPr>
          </w:p>
        </w:tc>
        <w:tc>
          <w:tcPr>
            <w:tcW w:w="3118" w:type="dxa"/>
            <w:tcBorders>
              <w:top w:val="single" w:sz="4" w:space="0" w:color="auto"/>
              <w:bottom w:val="single" w:sz="4" w:space="0" w:color="F2F2F2" w:themeColor="background1" w:themeShade="F2"/>
            </w:tcBorders>
            <w:vAlign w:val="center"/>
          </w:tcPr>
          <w:p w14:paraId="07DCA505" w14:textId="4D860D86" w:rsidR="008F64B5" w:rsidRPr="00FB26D4" w:rsidRDefault="008F64B5" w:rsidP="008F64B5">
            <w:pPr>
              <w:spacing w:after="0" w:line="276" w:lineRule="auto"/>
              <w:jc w:val="both"/>
              <w:rPr>
                <w:rFonts w:cs="Calibri"/>
                <w:sz w:val="21"/>
                <w:szCs w:val="21"/>
                <w:highlight w:val="yellow"/>
              </w:rPr>
            </w:pPr>
          </w:p>
        </w:tc>
        <w:tc>
          <w:tcPr>
            <w:tcW w:w="2412" w:type="dxa"/>
            <w:tcBorders>
              <w:top w:val="single" w:sz="4" w:space="0" w:color="auto"/>
              <w:bottom w:val="single" w:sz="4" w:space="0" w:color="F2F2F2" w:themeColor="background1" w:themeShade="F2"/>
            </w:tcBorders>
            <w:vAlign w:val="center"/>
          </w:tcPr>
          <w:p w14:paraId="36B3706E" w14:textId="308C39EB" w:rsidR="008F64B5" w:rsidRPr="00FB26D4" w:rsidRDefault="008F64B5" w:rsidP="008F64B5">
            <w:pPr>
              <w:spacing w:after="0" w:line="276" w:lineRule="auto"/>
              <w:jc w:val="both"/>
              <w:rPr>
                <w:rFonts w:cs="Calibri"/>
                <w:sz w:val="21"/>
                <w:szCs w:val="21"/>
                <w:highlight w:val="yellow"/>
              </w:rPr>
            </w:pPr>
          </w:p>
        </w:tc>
        <w:tc>
          <w:tcPr>
            <w:tcW w:w="1950" w:type="dxa"/>
            <w:tcBorders>
              <w:top w:val="single" w:sz="4" w:space="0" w:color="auto"/>
              <w:bottom w:val="single" w:sz="4" w:space="0" w:color="F2F2F2" w:themeColor="background1" w:themeShade="F2"/>
            </w:tcBorders>
            <w:vAlign w:val="center"/>
          </w:tcPr>
          <w:p w14:paraId="1CED0DF8" w14:textId="1DB0A78B" w:rsidR="008F64B5" w:rsidRPr="00FB26D4" w:rsidRDefault="008F64B5" w:rsidP="008F64B5">
            <w:pPr>
              <w:spacing w:after="0" w:line="276" w:lineRule="auto"/>
              <w:jc w:val="both"/>
              <w:rPr>
                <w:rFonts w:cs="Calibri"/>
                <w:sz w:val="21"/>
                <w:szCs w:val="21"/>
                <w:highlight w:val="yellow"/>
              </w:rPr>
            </w:pPr>
          </w:p>
        </w:tc>
      </w:tr>
      <w:tr w:rsidR="008F64B5" w:rsidRPr="00FB26D4" w14:paraId="71DA4245" w14:textId="77777777" w:rsidTr="000001C1">
        <w:tc>
          <w:tcPr>
            <w:tcW w:w="1980" w:type="dxa"/>
            <w:tcBorders>
              <w:bottom w:val="single" w:sz="4" w:space="0" w:color="auto"/>
            </w:tcBorders>
            <w:vAlign w:val="center"/>
          </w:tcPr>
          <w:p w14:paraId="1A3A5CFE" w14:textId="77777777" w:rsidR="008F64B5" w:rsidRPr="00FB26D4" w:rsidRDefault="008F64B5" w:rsidP="008F64B5">
            <w:pPr>
              <w:spacing w:after="0" w:line="276" w:lineRule="auto"/>
              <w:rPr>
                <w:rFonts w:cs="Calibri"/>
                <w:sz w:val="21"/>
                <w:szCs w:val="21"/>
              </w:rPr>
            </w:pPr>
            <w:r w:rsidRPr="00FB26D4">
              <w:rPr>
                <w:rFonts w:cs="Calibri"/>
                <w:sz w:val="21"/>
                <w:szCs w:val="21"/>
              </w:rPr>
              <w:t xml:space="preserve">Informe                   / Recomendaciones / </w:t>
            </w:r>
          </w:p>
          <w:p w14:paraId="04D9252A" w14:textId="4C0E2EB3" w:rsidR="008F64B5" w:rsidRPr="00FB26D4" w:rsidRDefault="008F64B5" w:rsidP="008F64B5">
            <w:pPr>
              <w:spacing w:after="0" w:line="276" w:lineRule="auto"/>
              <w:rPr>
                <w:rFonts w:cs="Calibri"/>
                <w:sz w:val="21"/>
                <w:szCs w:val="21"/>
                <w:highlight w:val="yellow"/>
              </w:rPr>
            </w:pPr>
            <w:r w:rsidRPr="00FB26D4">
              <w:rPr>
                <w:rFonts w:cs="Calibri"/>
                <w:b/>
                <w:sz w:val="21"/>
                <w:szCs w:val="21"/>
              </w:rPr>
              <w:t>3</w:t>
            </w:r>
          </w:p>
        </w:tc>
        <w:tc>
          <w:tcPr>
            <w:tcW w:w="3118" w:type="dxa"/>
            <w:tcBorders>
              <w:bottom w:val="single" w:sz="4" w:space="0" w:color="auto"/>
            </w:tcBorders>
            <w:vAlign w:val="center"/>
          </w:tcPr>
          <w:p w14:paraId="19737894" w14:textId="43E62403" w:rsidR="008F64B5" w:rsidRPr="00FB26D4" w:rsidRDefault="000001C1" w:rsidP="000001C1">
            <w:pPr>
              <w:spacing w:line="276" w:lineRule="auto"/>
              <w:jc w:val="both"/>
              <w:rPr>
                <w:rFonts w:cs="Calibri"/>
                <w:sz w:val="21"/>
                <w:szCs w:val="21"/>
                <w:highlight w:val="yellow"/>
              </w:rPr>
            </w:pPr>
            <w:r w:rsidRPr="00FB26D4">
              <w:rPr>
                <w:rFonts w:cs="Calibri"/>
                <w:sz w:val="21"/>
                <w:szCs w:val="21"/>
              </w:rPr>
              <w:t>Definir un indicador sectorial y darle el seguimiento correspondiente</w:t>
            </w:r>
          </w:p>
        </w:tc>
        <w:tc>
          <w:tcPr>
            <w:tcW w:w="2412" w:type="dxa"/>
            <w:tcBorders>
              <w:bottom w:val="single" w:sz="4" w:space="0" w:color="auto"/>
            </w:tcBorders>
            <w:vAlign w:val="center"/>
          </w:tcPr>
          <w:p w14:paraId="7DE581B4" w14:textId="6B30CD8F" w:rsidR="008F64B5" w:rsidRPr="00FB26D4" w:rsidRDefault="009D6DFA" w:rsidP="008F64B5">
            <w:pPr>
              <w:spacing w:after="0" w:line="276" w:lineRule="auto"/>
              <w:jc w:val="both"/>
              <w:rPr>
                <w:rFonts w:cs="Calibri"/>
                <w:sz w:val="21"/>
                <w:szCs w:val="21"/>
                <w:highlight w:val="yellow"/>
              </w:rPr>
            </w:pPr>
            <w:r w:rsidRPr="00FB26D4">
              <w:rPr>
                <w:rFonts w:cs="Calibri"/>
                <w:sz w:val="21"/>
                <w:szCs w:val="21"/>
              </w:rPr>
              <w:t xml:space="preserve">La Comisión no participó en la elaboración del programa sectorial, se buscará hacer la </w:t>
            </w:r>
            <w:r w:rsidRPr="00FB26D4">
              <w:rPr>
                <w:rFonts w:cs="Calibri"/>
                <w:sz w:val="21"/>
                <w:szCs w:val="21"/>
              </w:rPr>
              <w:lastRenderedPageBreak/>
              <w:t>propuesta de modificación al Programa sectorial.</w:t>
            </w:r>
          </w:p>
        </w:tc>
        <w:tc>
          <w:tcPr>
            <w:tcW w:w="1950" w:type="dxa"/>
            <w:tcBorders>
              <w:bottom w:val="single" w:sz="4" w:space="0" w:color="auto"/>
            </w:tcBorders>
            <w:vAlign w:val="center"/>
          </w:tcPr>
          <w:p w14:paraId="68ADE294" w14:textId="3CC56F85" w:rsidR="008F64B5" w:rsidRPr="00FB26D4" w:rsidRDefault="002557B4" w:rsidP="008F64B5">
            <w:pPr>
              <w:spacing w:after="0" w:line="276" w:lineRule="auto"/>
              <w:jc w:val="both"/>
              <w:rPr>
                <w:rFonts w:cs="Calibri"/>
                <w:sz w:val="21"/>
                <w:szCs w:val="21"/>
                <w:highlight w:val="yellow"/>
              </w:rPr>
            </w:pPr>
            <w:r w:rsidRPr="00FB26D4">
              <w:rPr>
                <w:rFonts w:cs="Calibri"/>
                <w:sz w:val="21"/>
                <w:szCs w:val="21"/>
              </w:rPr>
              <w:lastRenderedPageBreak/>
              <w:t>Gestionar la participación en la elaboración del programa sectorial</w:t>
            </w:r>
          </w:p>
        </w:tc>
      </w:tr>
      <w:tr w:rsidR="008F64B5" w:rsidRPr="00FB26D4" w14:paraId="6202F808" w14:textId="77777777" w:rsidTr="000001C1">
        <w:tc>
          <w:tcPr>
            <w:tcW w:w="1980" w:type="dxa"/>
            <w:tcBorders>
              <w:top w:val="single" w:sz="4" w:space="0" w:color="auto"/>
              <w:bottom w:val="single" w:sz="4" w:space="0" w:color="auto"/>
            </w:tcBorders>
            <w:vAlign w:val="center"/>
          </w:tcPr>
          <w:p w14:paraId="14D5C784" w14:textId="77777777" w:rsidR="008F64B5" w:rsidRPr="00FB26D4" w:rsidRDefault="008F64B5" w:rsidP="008F64B5">
            <w:pPr>
              <w:spacing w:after="0" w:line="276" w:lineRule="auto"/>
              <w:rPr>
                <w:rFonts w:cs="Calibri"/>
                <w:sz w:val="21"/>
                <w:szCs w:val="21"/>
              </w:rPr>
            </w:pPr>
            <w:r w:rsidRPr="00FB26D4">
              <w:rPr>
                <w:rFonts w:cs="Calibri"/>
                <w:sz w:val="21"/>
                <w:szCs w:val="21"/>
              </w:rPr>
              <w:t xml:space="preserve">Informe                   / Recomendaciones / </w:t>
            </w:r>
          </w:p>
          <w:p w14:paraId="0D31D824" w14:textId="6853C348" w:rsidR="008F64B5" w:rsidRPr="00FB26D4" w:rsidRDefault="008F64B5" w:rsidP="002557B4">
            <w:pPr>
              <w:spacing w:after="0" w:line="276" w:lineRule="auto"/>
              <w:rPr>
                <w:rFonts w:cs="Calibri"/>
                <w:b/>
                <w:sz w:val="21"/>
                <w:szCs w:val="21"/>
                <w:highlight w:val="yellow"/>
              </w:rPr>
            </w:pPr>
            <w:r w:rsidRPr="00FB26D4">
              <w:rPr>
                <w:rFonts w:cs="Calibri"/>
                <w:sz w:val="21"/>
                <w:szCs w:val="21"/>
              </w:rPr>
              <w:t>4</w:t>
            </w:r>
          </w:p>
        </w:tc>
        <w:tc>
          <w:tcPr>
            <w:tcW w:w="3118" w:type="dxa"/>
            <w:tcBorders>
              <w:top w:val="single" w:sz="4" w:space="0" w:color="auto"/>
              <w:bottom w:val="single" w:sz="4" w:space="0" w:color="auto"/>
            </w:tcBorders>
            <w:vAlign w:val="center"/>
          </w:tcPr>
          <w:p w14:paraId="4C3DA5D5" w14:textId="4EAD9DEF" w:rsidR="008F64B5" w:rsidRPr="00FB26D4" w:rsidRDefault="009D6DFA" w:rsidP="008F64B5">
            <w:pPr>
              <w:spacing w:after="0" w:line="276" w:lineRule="auto"/>
              <w:jc w:val="both"/>
              <w:rPr>
                <w:rFonts w:cs="Calibri"/>
                <w:sz w:val="21"/>
                <w:szCs w:val="21"/>
                <w:highlight w:val="yellow"/>
                <w:lang w:val="es-ES"/>
              </w:rPr>
            </w:pPr>
            <w:r w:rsidRPr="00FB26D4">
              <w:rPr>
                <w:rFonts w:cs="Calibri"/>
                <w:sz w:val="21"/>
                <w:szCs w:val="21"/>
              </w:rPr>
              <w:t>Establecer los indicadores de todos los niveles de la Matriz de Indicadores para resultados que permitan evaluar los resultados y evolución del Programa presupuestario</w:t>
            </w:r>
            <w:r w:rsidR="002557B4" w:rsidRPr="00FB26D4">
              <w:rPr>
                <w:rFonts w:cs="Calibri"/>
                <w:sz w:val="21"/>
                <w:szCs w:val="21"/>
              </w:rPr>
              <w:t>.</w:t>
            </w:r>
          </w:p>
        </w:tc>
        <w:tc>
          <w:tcPr>
            <w:tcW w:w="2412" w:type="dxa"/>
            <w:tcBorders>
              <w:top w:val="single" w:sz="4" w:space="0" w:color="auto"/>
              <w:bottom w:val="single" w:sz="4" w:space="0" w:color="auto"/>
            </w:tcBorders>
            <w:vAlign w:val="center"/>
          </w:tcPr>
          <w:p w14:paraId="740FC487" w14:textId="6913D804" w:rsidR="008F64B5" w:rsidRPr="00FB26D4" w:rsidRDefault="009D6DFA" w:rsidP="008F64B5">
            <w:pPr>
              <w:spacing w:after="0" w:line="276" w:lineRule="auto"/>
              <w:jc w:val="both"/>
              <w:rPr>
                <w:rFonts w:cs="Calibri"/>
                <w:sz w:val="21"/>
                <w:szCs w:val="21"/>
                <w:highlight w:val="yellow"/>
              </w:rPr>
            </w:pPr>
            <w:r w:rsidRPr="00FB26D4">
              <w:rPr>
                <w:rFonts w:cs="Calibri"/>
                <w:sz w:val="21"/>
                <w:szCs w:val="21"/>
              </w:rPr>
              <w:t>Somos conscientes del incumplimiento en que se está incurriendo al no contar con un PBR y una MIR</w:t>
            </w:r>
            <w:r w:rsidR="008216F2" w:rsidRPr="00FB26D4">
              <w:rPr>
                <w:rFonts w:cs="Calibri"/>
                <w:sz w:val="21"/>
                <w:szCs w:val="21"/>
              </w:rPr>
              <w:t xml:space="preserve"> y de la importancia de los indicadores y su seguimiento para medir el impacto real del Pp. por lo que</w:t>
            </w:r>
            <w:r w:rsidRPr="00FB26D4">
              <w:rPr>
                <w:rFonts w:cs="Calibri"/>
                <w:sz w:val="21"/>
                <w:szCs w:val="21"/>
              </w:rPr>
              <w:t xml:space="preserve"> contemplamos la implementación del PBR y MIR para el ejercicio 2025.</w:t>
            </w:r>
          </w:p>
        </w:tc>
        <w:tc>
          <w:tcPr>
            <w:tcW w:w="1950" w:type="dxa"/>
            <w:tcBorders>
              <w:top w:val="single" w:sz="4" w:space="0" w:color="auto"/>
              <w:bottom w:val="single" w:sz="4" w:space="0" w:color="auto"/>
            </w:tcBorders>
            <w:vAlign w:val="center"/>
          </w:tcPr>
          <w:p w14:paraId="1BF35B51" w14:textId="53CF25FA" w:rsidR="008F64B5" w:rsidRPr="00FB26D4" w:rsidRDefault="009D6DFA" w:rsidP="008F64B5">
            <w:pPr>
              <w:spacing w:after="0" w:line="276" w:lineRule="auto"/>
              <w:jc w:val="both"/>
              <w:rPr>
                <w:rFonts w:cs="Calibri"/>
                <w:sz w:val="21"/>
                <w:szCs w:val="21"/>
                <w:highlight w:val="yellow"/>
              </w:rPr>
            </w:pPr>
            <w:r w:rsidRPr="00FB26D4">
              <w:rPr>
                <w:rFonts w:cs="Calibri"/>
                <w:sz w:val="21"/>
                <w:szCs w:val="21"/>
              </w:rPr>
              <w:t>Definir indicadores de la MIR y elaborar las fichas de indicadores</w:t>
            </w:r>
            <w:r w:rsidR="008216F2" w:rsidRPr="00FB26D4">
              <w:rPr>
                <w:rFonts w:cs="Calibri"/>
                <w:sz w:val="21"/>
                <w:szCs w:val="21"/>
              </w:rPr>
              <w:t xml:space="preserve"> para 2025</w:t>
            </w:r>
          </w:p>
        </w:tc>
      </w:tr>
      <w:tr w:rsidR="002B31C3" w:rsidRPr="00FB26D4" w14:paraId="56AFB5F7" w14:textId="77777777" w:rsidTr="000001C1">
        <w:tc>
          <w:tcPr>
            <w:tcW w:w="1980" w:type="dxa"/>
            <w:tcBorders>
              <w:top w:val="single" w:sz="4" w:space="0" w:color="auto"/>
              <w:bottom w:val="single" w:sz="4" w:space="0" w:color="auto"/>
            </w:tcBorders>
            <w:vAlign w:val="center"/>
          </w:tcPr>
          <w:p w14:paraId="4B8F5C48" w14:textId="77777777" w:rsidR="002B31C3" w:rsidRPr="00FB26D4" w:rsidRDefault="002B31C3" w:rsidP="002B31C3">
            <w:pPr>
              <w:spacing w:after="0" w:line="276" w:lineRule="auto"/>
              <w:rPr>
                <w:rFonts w:cs="Calibri"/>
                <w:sz w:val="21"/>
                <w:szCs w:val="21"/>
              </w:rPr>
            </w:pPr>
            <w:r w:rsidRPr="00FB26D4">
              <w:rPr>
                <w:rFonts w:cs="Calibri"/>
                <w:sz w:val="21"/>
                <w:szCs w:val="21"/>
              </w:rPr>
              <w:t xml:space="preserve">Informe                   / Recomendaciones / </w:t>
            </w:r>
          </w:p>
          <w:p w14:paraId="26C229FE" w14:textId="4D36F9E1" w:rsidR="002B31C3" w:rsidRPr="00FB26D4" w:rsidRDefault="002B31C3" w:rsidP="002B31C3">
            <w:pPr>
              <w:spacing w:after="0" w:line="276" w:lineRule="auto"/>
              <w:rPr>
                <w:rFonts w:asciiTheme="minorHAnsi" w:hAnsiTheme="minorHAnsi" w:cstheme="minorHAnsi"/>
                <w:sz w:val="21"/>
                <w:szCs w:val="21"/>
              </w:rPr>
            </w:pPr>
            <w:r w:rsidRPr="00FB26D4">
              <w:rPr>
                <w:rFonts w:asciiTheme="minorHAnsi" w:hAnsiTheme="minorHAnsi" w:cstheme="minorHAnsi"/>
                <w:sz w:val="21"/>
                <w:szCs w:val="21"/>
              </w:rPr>
              <w:t>5</w:t>
            </w:r>
          </w:p>
        </w:tc>
        <w:tc>
          <w:tcPr>
            <w:tcW w:w="3118" w:type="dxa"/>
            <w:tcBorders>
              <w:top w:val="single" w:sz="4" w:space="0" w:color="auto"/>
              <w:bottom w:val="single" w:sz="4" w:space="0" w:color="auto"/>
            </w:tcBorders>
            <w:vAlign w:val="center"/>
          </w:tcPr>
          <w:p w14:paraId="01D1CF0B" w14:textId="40720451" w:rsidR="002B31C3" w:rsidRPr="00FB26D4" w:rsidRDefault="00FB26D4" w:rsidP="008F64B5">
            <w:pPr>
              <w:spacing w:line="276" w:lineRule="auto"/>
              <w:ind w:left="113" w:right="170"/>
              <w:jc w:val="both"/>
              <w:rPr>
                <w:rFonts w:asciiTheme="minorHAnsi" w:hAnsiTheme="minorHAnsi" w:cstheme="minorHAnsi"/>
                <w:sz w:val="21"/>
                <w:szCs w:val="21"/>
              </w:rPr>
            </w:pPr>
            <w:r w:rsidRPr="00FB26D4">
              <w:rPr>
                <w:rFonts w:asciiTheme="minorHAnsi" w:hAnsiTheme="minorHAnsi" w:cstheme="minorHAnsi"/>
                <w:sz w:val="21"/>
                <w:szCs w:val="21"/>
              </w:rPr>
              <w:t>Definir medios de verificación confiables y accesible</w:t>
            </w:r>
          </w:p>
        </w:tc>
        <w:tc>
          <w:tcPr>
            <w:tcW w:w="2412" w:type="dxa"/>
            <w:tcBorders>
              <w:top w:val="single" w:sz="4" w:space="0" w:color="auto"/>
              <w:bottom w:val="single" w:sz="4" w:space="0" w:color="auto"/>
            </w:tcBorders>
            <w:vAlign w:val="center"/>
          </w:tcPr>
          <w:p w14:paraId="69007D56" w14:textId="78BB7C30" w:rsidR="002B31C3" w:rsidRPr="00FB26D4" w:rsidRDefault="002B31C3" w:rsidP="008F64B5">
            <w:pPr>
              <w:spacing w:after="0" w:line="276" w:lineRule="auto"/>
              <w:jc w:val="both"/>
              <w:rPr>
                <w:rFonts w:cs="Calibri"/>
                <w:sz w:val="21"/>
                <w:szCs w:val="21"/>
              </w:rPr>
            </w:pPr>
            <w:r w:rsidRPr="00FB26D4">
              <w:rPr>
                <w:rFonts w:cs="Calibri"/>
                <w:sz w:val="21"/>
                <w:szCs w:val="21"/>
              </w:rPr>
              <w:t>Actualmente las estadísticas que se tienen se llevan de manera manual en documentos de Word y tablas de Excel, cada departamento hace su propio seguimiento</w:t>
            </w:r>
            <w:r w:rsidR="00FB26D4" w:rsidRPr="00FB26D4">
              <w:rPr>
                <w:rFonts w:cs="Calibri"/>
                <w:sz w:val="21"/>
                <w:szCs w:val="21"/>
              </w:rPr>
              <w:t xml:space="preserve"> y no son de fácil acceso para su consulta</w:t>
            </w:r>
          </w:p>
        </w:tc>
        <w:tc>
          <w:tcPr>
            <w:tcW w:w="1950" w:type="dxa"/>
            <w:tcBorders>
              <w:top w:val="single" w:sz="4" w:space="0" w:color="auto"/>
              <w:bottom w:val="single" w:sz="4" w:space="0" w:color="auto"/>
            </w:tcBorders>
            <w:vAlign w:val="center"/>
          </w:tcPr>
          <w:p w14:paraId="52D529C1" w14:textId="68F07B23" w:rsidR="002B31C3" w:rsidRPr="00FB26D4" w:rsidRDefault="00FB26D4" w:rsidP="008F64B5">
            <w:pPr>
              <w:spacing w:after="0" w:line="276" w:lineRule="auto"/>
              <w:jc w:val="both"/>
              <w:rPr>
                <w:rFonts w:cs="Calibri"/>
                <w:sz w:val="21"/>
                <w:szCs w:val="21"/>
              </w:rPr>
            </w:pPr>
            <w:r w:rsidRPr="00FB26D4">
              <w:rPr>
                <w:rFonts w:cs="Calibri"/>
                <w:sz w:val="21"/>
                <w:szCs w:val="21"/>
              </w:rPr>
              <w:t>Definir un área responsable de las estadísticas de los apoyos y servicios otorgados, encargado de la operación del Sistema y de la publicación de la información</w:t>
            </w:r>
          </w:p>
        </w:tc>
      </w:tr>
      <w:tr w:rsidR="008F64B5" w:rsidRPr="00FB26D4" w14:paraId="75D31A35" w14:textId="77777777" w:rsidTr="000001C1">
        <w:tc>
          <w:tcPr>
            <w:tcW w:w="1980" w:type="dxa"/>
            <w:tcBorders>
              <w:top w:val="single" w:sz="4" w:space="0" w:color="auto"/>
              <w:bottom w:val="single" w:sz="4" w:space="0" w:color="auto"/>
            </w:tcBorders>
            <w:vAlign w:val="center"/>
          </w:tcPr>
          <w:p w14:paraId="6DDA4128" w14:textId="77777777" w:rsidR="008F64B5" w:rsidRPr="00FB26D4" w:rsidRDefault="008F64B5" w:rsidP="008F64B5">
            <w:pPr>
              <w:spacing w:after="0" w:line="276" w:lineRule="auto"/>
              <w:rPr>
                <w:rFonts w:asciiTheme="minorHAnsi" w:hAnsiTheme="minorHAnsi" w:cstheme="minorHAnsi"/>
                <w:sz w:val="21"/>
                <w:szCs w:val="21"/>
              </w:rPr>
            </w:pPr>
            <w:r w:rsidRPr="00FB26D4">
              <w:rPr>
                <w:rFonts w:asciiTheme="minorHAnsi" w:hAnsiTheme="minorHAnsi" w:cstheme="minorHAnsi"/>
                <w:sz w:val="21"/>
                <w:szCs w:val="21"/>
              </w:rPr>
              <w:t xml:space="preserve">Informe                   / Recomendaciones / </w:t>
            </w:r>
          </w:p>
          <w:p w14:paraId="069381E7" w14:textId="3972B861" w:rsidR="008F64B5" w:rsidRPr="00FB26D4" w:rsidRDefault="002B31C3" w:rsidP="008F64B5">
            <w:pPr>
              <w:spacing w:after="0" w:line="276" w:lineRule="auto"/>
              <w:rPr>
                <w:rFonts w:asciiTheme="minorHAnsi" w:hAnsiTheme="minorHAnsi" w:cstheme="minorHAnsi"/>
                <w:color w:val="FF0000"/>
                <w:sz w:val="21"/>
                <w:szCs w:val="21"/>
              </w:rPr>
            </w:pPr>
            <w:r w:rsidRPr="00FB26D4">
              <w:rPr>
                <w:rFonts w:asciiTheme="minorHAnsi" w:hAnsiTheme="minorHAnsi" w:cstheme="minorHAnsi"/>
                <w:sz w:val="21"/>
                <w:szCs w:val="21"/>
              </w:rPr>
              <w:t>6</w:t>
            </w:r>
          </w:p>
        </w:tc>
        <w:tc>
          <w:tcPr>
            <w:tcW w:w="3118" w:type="dxa"/>
            <w:tcBorders>
              <w:top w:val="single" w:sz="4" w:space="0" w:color="auto"/>
              <w:bottom w:val="single" w:sz="4" w:space="0" w:color="auto"/>
            </w:tcBorders>
            <w:vAlign w:val="center"/>
          </w:tcPr>
          <w:p w14:paraId="63EB3FA0" w14:textId="53690679" w:rsidR="008F64B5" w:rsidRPr="00FB26D4" w:rsidRDefault="002B31C3" w:rsidP="008F64B5">
            <w:pPr>
              <w:spacing w:line="276" w:lineRule="auto"/>
              <w:ind w:left="113" w:right="170"/>
              <w:jc w:val="both"/>
              <w:rPr>
                <w:rFonts w:asciiTheme="minorHAnsi" w:hAnsiTheme="minorHAnsi" w:cstheme="minorHAnsi"/>
                <w:sz w:val="21"/>
                <w:szCs w:val="21"/>
              </w:rPr>
            </w:pPr>
            <w:r w:rsidRPr="00FB26D4">
              <w:rPr>
                <w:rFonts w:asciiTheme="minorHAnsi" w:hAnsiTheme="minorHAnsi" w:cstheme="minorHAnsi"/>
                <w:sz w:val="21"/>
                <w:szCs w:val="21"/>
              </w:rPr>
              <w:t>Definición de metas claras, específicas y factibles de acuerdo al alcance histórico registrado en las estadísticas de la Comisión y de los recursos humanos, materiales y financieros disponibles</w:t>
            </w:r>
            <w:r w:rsidR="008F64B5" w:rsidRPr="00FB26D4">
              <w:rPr>
                <w:rFonts w:asciiTheme="minorHAnsi" w:hAnsiTheme="minorHAnsi" w:cstheme="minorHAnsi"/>
                <w:sz w:val="21"/>
                <w:szCs w:val="21"/>
              </w:rPr>
              <w:t>.</w:t>
            </w:r>
          </w:p>
        </w:tc>
        <w:tc>
          <w:tcPr>
            <w:tcW w:w="2412" w:type="dxa"/>
            <w:tcBorders>
              <w:top w:val="single" w:sz="4" w:space="0" w:color="auto"/>
              <w:bottom w:val="single" w:sz="4" w:space="0" w:color="auto"/>
            </w:tcBorders>
            <w:vAlign w:val="center"/>
          </w:tcPr>
          <w:p w14:paraId="52F4CC9E" w14:textId="0409B755" w:rsidR="008F64B5" w:rsidRPr="00FB26D4" w:rsidRDefault="002B31C3" w:rsidP="008F64B5">
            <w:pPr>
              <w:spacing w:after="0" w:line="276" w:lineRule="auto"/>
              <w:jc w:val="both"/>
              <w:rPr>
                <w:rFonts w:cs="Calibri"/>
                <w:sz w:val="21"/>
                <w:szCs w:val="21"/>
                <w:highlight w:val="yellow"/>
              </w:rPr>
            </w:pPr>
            <w:r w:rsidRPr="00FB26D4">
              <w:rPr>
                <w:rFonts w:cs="Calibri"/>
                <w:sz w:val="21"/>
                <w:szCs w:val="21"/>
              </w:rPr>
              <w:t>Las metas se definen de manera empírica por cada dirección al momento de realizar el POA por parte de la administración</w:t>
            </w:r>
          </w:p>
        </w:tc>
        <w:tc>
          <w:tcPr>
            <w:tcW w:w="1950" w:type="dxa"/>
            <w:tcBorders>
              <w:top w:val="single" w:sz="4" w:space="0" w:color="auto"/>
              <w:bottom w:val="single" w:sz="4" w:space="0" w:color="auto"/>
            </w:tcBorders>
            <w:vAlign w:val="center"/>
          </w:tcPr>
          <w:p w14:paraId="145AAE08" w14:textId="4895CB78" w:rsidR="008F64B5" w:rsidRPr="00FB26D4" w:rsidRDefault="002B31C3" w:rsidP="008F64B5">
            <w:pPr>
              <w:spacing w:after="0" w:line="276" w:lineRule="auto"/>
              <w:jc w:val="both"/>
              <w:rPr>
                <w:rFonts w:cs="Calibri"/>
                <w:sz w:val="21"/>
                <w:szCs w:val="21"/>
                <w:highlight w:val="yellow"/>
              </w:rPr>
            </w:pPr>
            <w:r w:rsidRPr="00FB26D4">
              <w:rPr>
                <w:rFonts w:cs="Calibri"/>
                <w:sz w:val="21"/>
                <w:szCs w:val="21"/>
              </w:rPr>
              <w:t>Defini</w:t>
            </w:r>
            <w:r w:rsidR="00157FD0" w:rsidRPr="00FB26D4">
              <w:rPr>
                <w:rFonts w:cs="Calibri"/>
                <w:sz w:val="21"/>
                <w:szCs w:val="21"/>
              </w:rPr>
              <w:t>r</w:t>
            </w:r>
            <w:r w:rsidRPr="00FB26D4">
              <w:rPr>
                <w:rFonts w:cs="Calibri"/>
                <w:sz w:val="21"/>
                <w:szCs w:val="21"/>
              </w:rPr>
              <w:t xml:space="preserve"> de metas</w:t>
            </w:r>
          </w:p>
        </w:tc>
      </w:tr>
      <w:tr w:rsidR="008F64B5" w:rsidRPr="00FB26D4" w14:paraId="4EE1DCB8" w14:textId="77777777" w:rsidTr="00157FD0">
        <w:tc>
          <w:tcPr>
            <w:tcW w:w="1980" w:type="dxa"/>
            <w:tcBorders>
              <w:top w:val="single" w:sz="4" w:space="0" w:color="auto"/>
              <w:bottom w:val="single" w:sz="4" w:space="0" w:color="auto"/>
            </w:tcBorders>
            <w:shd w:val="clear" w:color="auto" w:fill="auto"/>
            <w:vAlign w:val="center"/>
          </w:tcPr>
          <w:p w14:paraId="19B58E49" w14:textId="77777777" w:rsidR="008F64B5" w:rsidRPr="00FB26D4" w:rsidRDefault="008F64B5" w:rsidP="008F64B5">
            <w:pPr>
              <w:spacing w:after="0" w:line="276" w:lineRule="auto"/>
              <w:rPr>
                <w:rFonts w:asciiTheme="minorHAnsi" w:hAnsiTheme="minorHAnsi" w:cstheme="minorHAnsi"/>
                <w:sz w:val="21"/>
                <w:szCs w:val="21"/>
              </w:rPr>
            </w:pPr>
            <w:r w:rsidRPr="00FB26D4">
              <w:rPr>
                <w:rFonts w:asciiTheme="minorHAnsi" w:hAnsiTheme="minorHAnsi" w:cstheme="minorHAnsi"/>
                <w:sz w:val="21"/>
                <w:szCs w:val="21"/>
              </w:rPr>
              <w:t xml:space="preserve">Informe                   / Recomendaciones / </w:t>
            </w:r>
          </w:p>
          <w:p w14:paraId="7AA224CA" w14:textId="2C5C10B7" w:rsidR="008F64B5" w:rsidRPr="00FB26D4" w:rsidRDefault="00157FD0" w:rsidP="008F64B5">
            <w:pPr>
              <w:spacing w:after="0" w:line="276" w:lineRule="auto"/>
              <w:rPr>
                <w:rFonts w:asciiTheme="minorHAnsi" w:hAnsiTheme="minorHAnsi" w:cstheme="minorHAnsi"/>
                <w:sz w:val="21"/>
                <w:szCs w:val="21"/>
              </w:rPr>
            </w:pPr>
            <w:r w:rsidRPr="00FB26D4">
              <w:rPr>
                <w:rFonts w:asciiTheme="minorHAnsi" w:hAnsiTheme="minorHAnsi" w:cstheme="minorHAnsi"/>
                <w:sz w:val="21"/>
                <w:szCs w:val="21"/>
              </w:rPr>
              <w:t>7</w:t>
            </w:r>
          </w:p>
        </w:tc>
        <w:tc>
          <w:tcPr>
            <w:tcW w:w="3118" w:type="dxa"/>
            <w:tcBorders>
              <w:top w:val="single" w:sz="4" w:space="0" w:color="auto"/>
              <w:bottom w:val="single" w:sz="4" w:space="0" w:color="auto"/>
            </w:tcBorders>
            <w:shd w:val="clear" w:color="auto" w:fill="auto"/>
            <w:vAlign w:val="center"/>
          </w:tcPr>
          <w:p w14:paraId="4D914CDF" w14:textId="5FFB319A" w:rsidR="008F64B5" w:rsidRPr="00FB26D4" w:rsidRDefault="00157FD0" w:rsidP="008F64B5">
            <w:pPr>
              <w:spacing w:line="276" w:lineRule="auto"/>
              <w:ind w:left="113" w:right="170"/>
              <w:jc w:val="both"/>
              <w:rPr>
                <w:rFonts w:asciiTheme="minorHAnsi" w:hAnsiTheme="minorHAnsi" w:cstheme="minorHAnsi"/>
                <w:sz w:val="21"/>
                <w:szCs w:val="21"/>
              </w:rPr>
            </w:pPr>
            <w:r w:rsidRPr="00FB26D4">
              <w:rPr>
                <w:rFonts w:asciiTheme="minorHAnsi" w:hAnsiTheme="minorHAnsi" w:cstheme="minorHAnsi"/>
                <w:sz w:val="21"/>
                <w:szCs w:val="21"/>
              </w:rPr>
              <w:t>Elaborar, aprobar y publicar los protocolos de atención a víctimas, para dar transparencia a la actuación de la Comisión al tratarse de un Programa presupuestario</w:t>
            </w:r>
            <w:r w:rsidR="008F64B5" w:rsidRPr="00FB26D4">
              <w:rPr>
                <w:rFonts w:asciiTheme="minorHAnsi" w:hAnsiTheme="minorHAnsi" w:cstheme="minorHAnsi"/>
                <w:sz w:val="21"/>
                <w:szCs w:val="21"/>
              </w:rPr>
              <w:t>.</w:t>
            </w:r>
          </w:p>
          <w:p w14:paraId="396A5C49" w14:textId="77777777" w:rsidR="008F64B5" w:rsidRPr="00FB26D4" w:rsidRDefault="008F64B5" w:rsidP="008F64B5">
            <w:pPr>
              <w:spacing w:after="0" w:line="276" w:lineRule="auto"/>
              <w:jc w:val="both"/>
              <w:rPr>
                <w:rFonts w:asciiTheme="minorHAnsi" w:hAnsiTheme="minorHAnsi" w:cstheme="minorHAnsi"/>
                <w:sz w:val="21"/>
                <w:szCs w:val="21"/>
              </w:rPr>
            </w:pPr>
          </w:p>
        </w:tc>
        <w:tc>
          <w:tcPr>
            <w:tcW w:w="2412" w:type="dxa"/>
            <w:tcBorders>
              <w:top w:val="single" w:sz="4" w:space="0" w:color="auto"/>
              <w:bottom w:val="single" w:sz="4" w:space="0" w:color="auto"/>
            </w:tcBorders>
            <w:vAlign w:val="center"/>
          </w:tcPr>
          <w:p w14:paraId="40631C95" w14:textId="51F316E9" w:rsidR="008F64B5" w:rsidRPr="00FB26D4" w:rsidRDefault="00157FD0" w:rsidP="008F64B5">
            <w:pPr>
              <w:spacing w:after="0" w:line="276" w:lineRule="auto"/>
              <w:jc w:val="both"/>
              <w:rPr>
                <w:rFonts w:cs="Calibri"/>
                <w:sz w:val="21"/>
                <w:szCs w:val="21"/>
                <w:highlight w:val="yellow"/>
              </w:rPr>
            </w:pPr>
            <w:r w:rsidRPr="00FB26D4">
              <w:rPr>
                <w:rFonts w:cs="Calibri"/>
                <w:sz w:val="21"/>
                <w:szCs w:val="21"/>
              </w:rPr>
              <w:t xml:space="preserve">Actualmente la Dirección del Fondo y Atención a </w:t>
            </w:r>
            <w:r w:rsidR="00022BCB" w:rsidRPr="00FB26D4">
              <w:rPr>
                <w:rFonts w:cs="Calibri"/>
                <w:sz w:val="21"/>
                <w:szCs w:val="21"/>
              </w:rPr>
              <w:t>Víctimas</w:t>
            </w:r>
            <w:r w:rsidRPr="00FB26D4">
              <w:rPr>
                <w:rFonts w:cs="Calibri"/>
                <w:sz w:val="21"/>
                <w:szCs w:val="21"/>
              </w:rPr>
              <w:t xml:space="preserve"> trabaja de acuerdo</w:t>
            </w:r>
            <w:r w:rsidR="00022BCB" w:rsidRPr="00FB26D4">
              <w:rPr>
                <w:rFonts w:cs="Calibri"/>
                <w:sz w:val="21"/>
                <w:szCs w:val="21"/>
              </w:rPr>
              <w:t xml:space="preserve"> </w:t>
            </w:r>
            <w:r w:rsidRPr="00FB26D4">
              <w:rPr>
                <w:rFonts w:cs="Calibri"/>
                <w:sz w:val="21"/>
                <w:szCs w:val="21"/>
              </w:rPr>
              <w:t>a los lineamientos de la Comisión Ejecutiva Nacional</w:t>
            </w:r>
          </w:p>
        </w:tc>
        <w:tc>
          <w:tcPr>
            <w:tcW w:w="1950" w:type="dxa"/>
            <w:tcBorders>
              <w:top w:val="single" w:sz="4" w:space="0" w:color="auto"/>
              <w:bottom w:val="single" w:sz="4" w:space="0" w:color="auto"/>
            </w:tcBorders>
            <w:vAlign w:val="center"/>
          </w:tcPr>
          <w:p w14:paraId="354C6595" w14:textId="3F9CC6AE" w:rsidR="008F64B5" w:rsidRPr="00FB26D4" w:rsidRDefault="00157FD0" w:rsidP="008F64B5">
            <w:pPr>
              <w:spacing w:after="0" w:line="276" w:lineRule="auto"/>
              <w:jc w:val="both"/>
              <w:rPr>
                <w:rFonts w:cs="Calibri"/>
                <w:sz w:val="21"/>
                <w:szCs w:val="21"/>
                <w:highlight w:val="yellow"/>
              </w:rPr>
            </w:pPr>
            <w:r w:rsidRPr="00FB26D4">
              <w:rPr>
                <w:rFonts w:cs="Calibri"/>
                <w:sz w:val="21"/>
                <w:szCs w:val="21"/>
              </w:rPr>
              <w:t>Elaboración, publicación e implementación de protocolos de actuación de atención a victimas</w:t>
            </w:r>
          </w:p>
        </w:tc>
      </w:tr>
      <w:tr w:rsidR="008F64B5" w:rsidRPr="00FB26D4" w14:paraId="1578C998" w14:textId="77777777" w:rsidTr="00157FD0">
        <w:tc>
          <w:tcPr>
            <w:tcW w:w="1980" w:type="dxa"/>
            <w:tcBorders>
              <w:top w:val="single" w:sz="4" w:space="0" w:color="auto"/>
              <w:bottom w:val="single" w:sz="4" w:space="0" w:color="auto"/>
            </w:tcBorders>
            <w:vAlign w:val="center"/>
          </w:tcPr>
          <w:p w14:paraId="7C73C55F" w14:textId="77777777" w:rsidR="008F64B5" w:rsidRPr="00FB26D4" w:rsidRDefault="008F64B5" w:rsidP="008F64B5">
            <w:pPr>
              <w:spacing w:after="0" w:line="276" w:lineRule="auto"/>
              <w:rPr>
                <w:rFonts w:asciiTheme="minorHAnsi" w:hAnsiTheme="minorHAnsi" w:cstheme="minorHAnsi"/>
                <w:sz w:val="21"/>
                <w:szCs w:val="21"/>
              </w:rPr>
            </w:pPr>
            <w:r w:rsidRPr="00FB26D4">
              <w:rPr>
                <w:rFonts w:asciiTheme="minorHAnsi" w:hAnsiTheme="minorHAnsi" w:cstheme="minorHAnsi"/>
                <w:sz w:val="21"/>
                <w:szCs w:val="21"/>
              </w:rPr>
              <w:lastRenderedPageBreak/>
              <w:t xml:space="preserve">Informe                   / Recomendaciones / </w:t>
            </w:r>
          </w:p>
          <w:p w14:paraId="1BDAB304" w14:textId="4B88B0EF" w:rsidR="008F64B5" w:rsidRPr="00FB26D4" w:rsidRDefault="00157FD0" w:rsidP="008F64B5">
            <w:pPr>
              <w:spacing w:after="0" w:line="276" w:lineRule="auto"/>
              <w:rPr>
                <w:rFonts w:asciiTheme="minorHAnsi" w:hAnsiTheme="minorHAnsi" w:cstheme="minorHAnsi"/>
                <w:sz w:val="21"/>
                <w:szCs w:val="21"/>
                <w:highlight w:val="yellow"/>
              </w:rPr>
            </w:pPr>
            <w:r w:rsidRPr="00FB26D4">
              <w:rPr>
                <w:rFonts w:asciiTheme="minorHAnsi" w:hAnsiTheme="minorHAnsi" w:cstheme="minorHAnsi"/>
                <w:sz w:val="21"/>
                <w:szCs w:val="21"/>
              </w:rPr>
              <w:t>8</w:t>
            </w:r>
          </w:p>
        </w:tc>
        <w:tc>
          <w:tcPr>
            <w:tcW w:w="3118" w:type="dxa"/>
            <w:tcBorders>
              <w:top w:val="single" w:sz="4" w:space="0" w:color="auto"/>
              <w:bottom w:val="single" w:sz="4" w:space="0" w:color="auto"/>
            </w:tcBorders>
            <w:vAlign w:val="center"/>
          </w:tcPr>
          <w:p w14:paraId="301257C0" w14:textId="4EC848BE" w:rsidR="008F64B5" w:rsidRPr="00FB26D4" w:rsidRDefault="00157FD0" w:rsidP="008F64B5">
            <w:pPr>
              <w:spacing w:after="0" w:line="276" w:lineRule="auto"/>
              <w:jc w:val="both"/>
              <w:rPr>
                <w:rFonts w:asciiTheme="minorHAnsi" w:hAnsiTheme="minorHAnsi" w:cstheme="minorHAnsi"/>
                <w:sz w:val="21"/>
                <w:szCs w:val="21"/>
                <w:highlight w:val="yellow"/>
              </w:rPr>
            </w:pPr>
            <w:r w:rsidRPr="00FB26D4">
              <w:rPr>
                <w:rFonts w:asciiTheme="minorHAnsi" w:hAnsiTheme="minorHAnsi" w:cstheme="minorHAnsi"/>
                <w:sz w:val="21"/>
                <w:szCs w:val="21"/>
                <w:lang w:val="es-ES"/>
              </w:rPr>
              <w:t>Desarrollar y/o implementar un software que de solidez y certeza al registro estatal de victimas</w:t>
            </w:r>
          </w:p>
        </w:tc>
        <w:tc>
          <w:tcPr>
            <w:tcW w:w="2412" w:type="dxa"/>
            <w:tcBorders>
              <w:top w:val="single" w:sz="4" w:space="0" w:color="auto"/>
              <w:bottom w:val="single" w:sz="4" w:space="0" w:color="auto"/>
            </w:tcBorders>
            <w:vAlign w:val="center"/>
          </w:tcPr>
          <w:p w14:paraId="4ABD3C89" w14:textId="53803B1C" w:rsidR="008F64B5" w:rsidRPr="00FB26D4" w:rsidRDefault="00157FD0" w:rsidP="008F64B5">
            <w:pPr>
              <w:spacing w:after="0" w:line="276" w:lineRule="auto"/>
              <w:jc w:val="both"/>
              <w:rPr>
                <w:rFonts w:cs="Calibri"/>
                <w:sz w:val="21"/>
                <w:szCs w:val="21"/>
                <w:highlight w:val="yellow"/>
              </w:rPr>
            </w:pPr>
            <w:r w:rsidRPr="00FB26D4">
              <w:rPr>
                <w:rFonts w:cs="Calibri"/>
                <w:sz w:val="21"/>
                <w:szCs w:val="21"/>
              </w:rPr>
              <w:t xml:space="preserve">Se cuenta con un formato de registro de </w:t>
            </w:r>
            <w:r w:rsidR="00FB26D4" w:rsidRPr="00FB26D4">
              <w:rPr>
                <w:rFonts w:cs="Calibri"/>
                <w:sz w:val="21"/>
                <w:szCs w:val="21"/>
              </w:rPr>
              <w:t>víctimas</w:t>
            </w:r>
            <w:r w:rsidRPr="00FB26D4">
              <w:rPr>
                <w:rFonts w:cs="Calibri"/>
                <w:sz w:val="21"/>
                <w:szCs w:val="21"/>
              </w:rPr>
              <w:t xml:space="preserve"> donde la victima proporciona todos sus datos necesarios para el seguimiento, sin embargo, no se cuenta con un sistema con el que se dé seguimiento puntual a cada </w:t>
            </w:r>
            <w:r w:rsidR="00FB26D4" w:rsidRPr="00FB26D4">
              <w:rPr>
                <w:rFonts w:cs="Calibri"/>
                <w:sz w:val="21"/>
                <w:szCs w:val="21"/>
              </w:rPr>
              <w:t>víctima</w:t>
            </w:r>
            <w:r w:rsidRPr="00FB26D4">
              <w:rPr>
                <w:rFonts w:cs="Calibri"/>
                <w:sz w:val="21"/>
                <w:szCs w:val="21"/>
              </w:rPr>
              <w:t xml:space="preserve"> atendida </w:t>
            </w:r>
          </w:p>
        </w:tc>
        <w:tc>
          <w:tcPr>
            <w:tcW w:w="1950" w:type="dxa"/>
            <w:tcBorders>
              <w:top w:val="single" w:sz="4" w:space="0" w:color="auto"/>
              <w:bottom w:val="single" w:sz="4" w:space="0" w:color="auto"/>
            </w:tcBorders>
            <w:shd w:val="clear" w:color="auto" w:fill="auto"/>
            <w:vAlign w:val="center"/>
          </w:tcPr>
          <w:p w14:paraId="58C8412A" w14:textId="39A85329" w:rsidR="008F64B5" w:rsidRPr="00FB26D4" w:rsidRDefault="00157FD0" w:rsidP="008F64B5">
            <w:pPr>
              <w:spacing w:after="0" w:line="276" w:lineRule="auto"/>
              <w:jc w:val="both"/>
              <w:rPr>
                <w:rFonts w:cs="Calibri"/>
                <w:sz w:val="21"/>
                <w:szCs w:val="21"/>
              </w:rPr>
            </w:pPr>
            <w:r w:rsidRPr="00FB26D4">
              <w:rPr>
                <w:rFonts w:cs="Calibri"/>
                <w:sz w:val="21"/>
                <w:szCs w:val="21"/>
              </w:rPr>
              <w:t xml:space="preserve">Desarrollo e </w:t>
            </w:r>
            <w:r w:rsidR="00FB26D4" w:rsidRPr="00FB26D4">
              <w:rPr>
                <w:rFonts w:cs="Calibri"/>
                <w:sz w:val="21"/>
                <w:szCs w:val="21"/>
              </w:rPr>
              <w:t>implementación</w:t>
            </w:r>
            <w:r w:rsidRPr="00FB26D4">
              <w:rPr>
                <w:rFonts w:cs="Calibri"/>
                <w:sz w:val="21"/>
                <w:szCs w:val="21"/>
              </w:rPr>
              <w:t xml:space="preserve"> de software</w:t>
            </w:r>
          </w:p>
        </w:tc>
      </w:tr>
    </w:tbl>
    <w:p w14:paraId="77492E1D" w14:textId="1163EC7F" w:rsidR="00AA45DE" w:rsidRPr="0012014A" w:rsidRDefault="0012014A" w:rsidP="00F77312">
      <w:pPr>
        <w:spacing w:after="0"/>
        <w:rPr>
          <w:rFonts w:cs="Calibri"/>
        </w:rPr>
      </w:pPr>
      <w:r w:rsidRPr="0012014A">
        <w:rPr>
          <w:rFonts w:cs="Calibri"/>
          <w:sz w:val="21"/>
          <w:szCs w:val="21"/>
        </w:rPr>
        <w:br w:type="textWrapping" w:clear="all"/>
      </w:r>
    </w:p>
    <w:p w14:paraId="01B68660" w14:textId="77777777" w:rsidR="00936D55" w:rsidRPr="0012014A" w:rsidRDefault="00936D55" w:rsidP="00F77312">
      <w:pPr>
        <w:spacing w:after="0"/>
        <w:rPr>
          <w:rFonts w:cs="Calibri"/>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15"/>
      </w:tblGrid>
      <w:tr w:rsidR="00BD0258" w:rsidRPr="0012014A" w14:paraId="1B2FE791" w14:textId="77777777" w:rsidTr="00BD0258">
        <w:trPr>
          <w:trHeight w:val="340"/>
        </w:trPr>
        <w:tc>
          <w:tcPr>
            <w:tcW w:w="9215" w:type="dxa"/>
            <w:shd w:val="clear" w:color="auto" w:fill="404040" w:themeFill="text1" w:themeFillTint="BF"/>
            <w:vAlign w:val="center"/>
          </w:tcPr>
          <w:p w14:paraId="3C476D11" w14:textId="745AEDD5" w:rsidR="00936D55" w:rsidRPr="0012014A" w:rsidRDefault="00936D55" w:rsidP="0083413E">
            <w:pPr>
              <w:pStyle w:val="Prrafodelista"/>
              <w:numPr>
                <w:ilvl w:val="0"/>
                <w:numId w:val="5"/>
              </w:numPr>
              <w:spacing w:after="0" w:line="240" w:lineRule="auto"/>
              <w:ind w:left="714" w:hanging="357"/>
              <w:jc w:val="center"/>
              <w:rPr>
                <w:rFonts w:cs="Calibri"/>
                <w:b/>
                <w:color w:val="FFFFFF" w:themeColor="background1"/>
              </w:rPr>
            </w:pPr>
            <w:r w:rsidRPr="0012014A">
              <w:rPr>
                <w:rFonts w:cs="Calibri"/>
                <w:b/>
                <w:color w:val="FFFFFF" w:themeColor="background1"/>
              </w:rPr>
              <w:t>Posición Institucional respecto de la evaluación</w:t>
            </w:r>
          </w:p>
        </w:tc>
      </w:tr>
    </w:tbl>
    <w:p w14:paraId="414C263C" w14:textId="329997FE" w:rsidR="0012014A" w:rsidRPr="0012014A" w:rsidRDefault="00936D55" w:rsidP="0083413E">
      <w:pPr>
        <w:spacing w:line="276" w:lineRule="auto"/>
        <w:jc w:val="both"/>
        <w:rPr>
          <w:rFonts w:cs="Calibri"/>
        </w:rPr>
      </w:pPr>
      <w:r w:rsidRPr="0012014A">
        <w:rPr>
          <w:rFonts w:cs="Calibri"/>
        </w:rPr>
        <w:t xml:space="preserve">Se considera que el Informe de la Evaluación </w:t>
      </w:r>
      <w:r w:rsidR="00ED445F" w:rsidRPr="0012014A">
        <w:rPr>
          <w:rFonts w:cs="Calibri"/>
        </w:rPr>
        <w:t>Externa</w:t>
      </w:r>
      <w:r w:rsidRPr="0012014A">
        <w:rPr>
          <w:rFonts w:cs="Calibri"/>
        </w:rPr>
        <w:t xml:space="preserve"> de </w:t>
      </w:r>
      <w:r w:rsidR="00216895" w:rsidRPr="0012014A">
        <w:rPr>
          <w:rFonts w:cs="Calibri"/>
        </w:rPr>
        <w:t>Desempeño</w:t>
      </w:r>
      <w:r w:rsidRPr="0012014A">
        <w:rPr>
          <w:rFonts w:cs="Calibri"/>
        </w:rPr>
        <w:t>, contiene los elementos necesarios para conocer el programa y su evolución a través del tiempo.</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9234"/>
      </w:tblGrid>
      <w:tr w:rsidR="00BD0258" w:rsidRPr="0012014A" w14:paraId="7DA2080A" w14:textId="77777777" w:rsidTr="00BD0258">
        <w:trPr>
          <w:trHeight w:val="340"/>
        </w:trPr>
        <w:tc>
          <w:tcPr>
            <w:tcW w:w="9355" w:type="dxa"/>
            <w:shd w:val="clear" w:color="auto" w:fill="404040" w:themeFill="text1" w:themeFillTint="BF"/>
            <w:vAlign w:val="center"/>
          </w:tcPr>
          <w:p w14:paraId="2097E111" w14:textId="7DE82FD5" w:rsidR="00936D55" w:rsidRPr="0012014A" w:rsidRDefault="00936D55" w:rsidP="0083413E">
            <w:pPr>
              <w:pStyle w:val="Prrafodelista"/>
              <w:numPr>
                <w:ilvl w:val="0"/>
                <w:numId w:val="5"/>
              </w:numPr>
              <w:spacing w:after="0" w:line="240" w:lineRule="auto"/>
              <w:ind w:left="714" w:hanging="357"/>
              <w:jc w:val="center"/>
              <w:rPr>
                <w:rFonts w:cs="Calibri"/>
                <w:b/>
                <w:color w:val="FFFFFF" w:themeColor="background1"/>
              </w:rPr>
            </w:pPr>
            <w:r w:rsidRPr="0012014A">
              <w:rPr>
                <w:rFonts w:cs="Calibri"/>
                <w:b/>
                <w:color w:val="FFFFFF" w:themeColor="background1"/>
              </w:rPr>
              <w:t>Comentarios específicos</w:t>
            </w:r>
          </w:p>
        </w:tc>
      </w:tr>
    </w:tbl>
    <w:p w14:paraId="32441CA9" w14:textId="77777777" w:rsidR="0012014A" w:rsidRDefault="0012014A" w:rsidP="00D05CDC">
      <w:pPr>
        <w:spacing w:line="276" w:lineRule="auto"/>
        <w:ind w:right="1"/>
        <w:jc w:val="both"/>
        <w:rPr>
          <w:rFonts w:cs="Calibri"/>
          <w:b/>
          <w:bCs/>
        </w:rPr>
      </w:pPr>
    </w:p>
    <w:p w14:paraId="19CD620F" w14:textId="66716BA5" w:rsidR="002B45DE" w:rsidRPr="009856F8" w:rsidRDefault="002B45DE" w:rsidP="009856F8">
      <w:pPr>
        <w:pStyle w:val="Prrafodelista"/>
        <w:numPr>
          <w:ilvl w:val="1"/>
          <w:numId w:val="7"/>
        </w:numPr>
        <w:spacing w:line="276" w:lineRule="auto"/>
        <w:ind w:right="1"/>
        <w:jc w:val="both"/>
        <w:rPr>
          <w:rFonts w:cs="Calibri"/>
          <w:b/>
          <w:bCs/>
        </w:rPr>
      </w:pPr>
      <w:r w:rsidRPr="009856F8">
        <w:rPr>
          <w:rFonts w:cs="Calibri"/>
          <w:b/>
          <w:bCs/>
        </w:rPr>
        <w:t>Sobre los resultados de la evaluación</w:t>
      </w:r>
    </w:p>
    <w:p w14:paraId="7073C70F" w14:textId="0164ABF1" w:rsidR="007739DB" w:rsidRDefault="00216895" w:rsidP="007739DB">
      <w:pPr>
        <w:pStyle w:val="Prrafodelista"/>
        <w:spacing w:line="276" w:lineRule="auto"/>
        <w:ind w:right="1"/>
        <w:jc w:val="both"/>
        <w:rPr>
          <w:rFonts w:cs="Calibri"/>
        </w:rPr>
      </w:pPr>
      <w:r w:rsidRPr="00FB26D4">
        <w:rPr>
          <w:rFonts w:cs="Calibri"/>
        </w:rPr>
        <w:t xml:space="preserve">Como resultado del proceso de evaluación se desprenden </w:t>
      </w:r>
      <w:r w:rsidR="00FB26D4" w:rsidRPr="00FB26D4">
        <w:rPr>
          <w:rFonts w:cs="Calibri"/>
        </w:rPr>
        <w:t xml:space="preserve">8 </w:t>
      </w:r>
      <w:r w:rsidRPr="00FB26D4">
        <w:rPr>
          <w:rFonts w:cs="Calibri"/>
        </w:rPr>
        <w:t>recomendaciones</w:t>
      </w:r>
      <w:r w:rsidRPr="00717524">
        <w:rPr>
          <w:rFonts w:cs="Calibri"/>
        </w:rPr>
        <w:t xml:space="preserve">, de las cuales, las principales se encuentran </w:t>
      </w:r>
      <w:r w:rsidR="007739DB">
        <w:rPr>
          <w:rFonts w:cs="Calibri"/>
        </w:rPr>
        <w:t>la implementación de la Metodología de la Marco Lógico para ejercicios subsecuentes considerando los datos históricos con que cuenta la Comisión, en donde se establezca con un rigor metodológico la población potencial y objetivo, así como la definición y seguimiento a la MIR 2025 en la cual deberá de considerarse indicadores claros y metas factibles de acuerdo a los recursos que dispone la Comisión, la definición de métodos de verificación que permitan transparentar y dar objetividad a la efectividad de los recursos ejercidos por este ente público, para lo que se considera la Sistematización del Registro de Víctimas.</w:t>
      </w:r>
    </w:p>
    <w:p w14:paraId="3ABCE790" w14:textId="77777777" w:rsidR="00717524" w:rsidRDefault="00717524" w:rsidP="007739DB">
      <w:pPr>
        <w:spacing w:line="276" w:lineRule="auto"/>
        <w:ind w:right="1"/>
        <w:jc w:val="both"/>
        <w:rPr>
          <w:rFonts w:cs="Calibri"/>
        </w:rPr>
      </w:pPr>
    </w:p>
    <w:p w14:paraId="3A439CBE" w14:textId="77777777" w:rsidR="00FB26D4" w:rsidRPr="007739DB" w:rsidRDefault="00FB26D4" w:rsidP="007739DB">
      <w:pPr>
        <w:spacing w:line="276" w:lineRule="auto"/>
        <w:ind w:right="1"/>
        <w:jc w:val="both"/>
        <w:rPr>
          <w:rFonts w:cs="Calibri"/>
        </w:rPr>
      </w:pPr>
    </w:p>
    <w:p w14:paraId="08D0C933" w14:textId="55C29DC8" w:rsidR="00216895" w:rsidRDefault="0020529D" w:rsidP="009856F8">
      <w:pPr>
        <w:pStyle w:val="Prrafodelista"/>
        <w:numPr>
          <w:ilvl w:val="1"/>
          <w:numId w:val="7"/>
        </w:numPr>
        <w:spacing w:line="276" w:lineRule="auto"/>
        <w:ind w:right="1"/>
        <w:jc w:val="both"/>
        <w:rPr>
          <w:rFonts w:cs="Calibri"/>
          <w:b/>
          <w:bCs/>
        </w:rPr>
      </w:pPr>
      <w:r w:rsidRPr="0012014A">
        <w:rPr>
          <w:rFonts w:cs="Calibri"/>
          <w:b/>
          <w:bCs/>
        </w:rPr>
        <w:t>Sobre el proceso de la evaluación</w:t>
      </w:r>
    </w:p>
    <w:p w14:paraId="41AA075E" w14:textId="77777777" w:rsidR="00826ABC" w:rsidRPr="0012014A" w:rsidRDefault="00826ABC" w:rsidP="00826ABC">
      <w:pPr>
        <w:pStyle w:val="Prrafodelista"/>
        <w:spacing w:line="276" w:lineRule="auto"/>
        <w:ind w:right="1"/>
        <w:jc w:val="both"/>
        <w:rPr>
          <w:rFonts w:cs="Calibri"/>
          <w:b/>
          <w:bCs/>
        </w:rPr>
      </w:pPr>
    </w:p>
    <w:p w14:paraId="618D8553" w14:textId="018344FC" w:rsidR="0012014A" w:rsidRPr="009856F8" w:rsidRDefault="0020529D" w:rsidP="009856F8">
      <w:pPr>
        <w:pStyle w:val="Prrafodelista"/>
        <w:spacing w:line="276" w:lineRule="auto"/>
        <w:ind w:right="1"/>
        <w:jc w:val="both"/>
      </w:pPr>
      <w:r w:rsidRPr="0012014A">
        <w:rPr>
          <w:rFonts w:cs="Calibri"/>
        </w:rPr>
        <w:t>El proceso de evaluación se realizó conforme a lo establecido en la PAE 202</w:t>
      </w:r>
      <w:r w:rsidR="007739DB">
        <w:rPr>
          <w:rFonts w:cs="Calibri"/>
        </w:rPr>
        <w:t>4</w:t>
      </w:r>
      <w:r w:rsidRPr="0012014A">
        <w:rPr>
          <w:rFonts w:cs="Calibri"/>
        </w:rPr>
        <w:t xml:space="preserve"> y a los Términos de Referencia (TdR</w:t>
      </w:r>
      <w:bookmarkStart w:id="1" w:name="_GoBack"/>
      <w:bookmarkEnd w:id="1"/>
      <w:r w:rsidRPr="0012014A">
        <w:rPr>
          <w:rFonts w:cs="Calibri"/>
        </w:rPr>
        <w:t xml:space="preserve">) emitidos para tal efecto por la Secretaría de Administración y Finanzas,  a través de reuniones de inicio para exponer el proceso bajo el cual se desarrollaría la evaluación, los temas que la conforman, se presentó el personal que interviene en la operación del Programa Presupuestario, se definió un enlace institucional para el seguimiento de los trabajos de la </w:t>
      </w:r>
      <w:r w:rsidRPr="0012014A">
        <w:rPr>
          <w:rFonts w:cs="Calibri"/>
        </w:rPr>
        <w:lastRenderedPageBreak/>
        <w:t xml:space="preserve">evaluación, se solicitó información necesaria para la evaluación y se establecieron medios de comunicación, siendo estos, reuniones de seguimiento, vía correo electrónico y de manera telefónica, entre otras, lo que  favoreció la comunicación y coordinación entre el enlace </w:t>
      </w:r>
      <w:r>
        <w:t>institucional</w:t>
      </w:r>
      <w:r w:rsidR="007739DB">
        <w:t xml:space="preserve"> de la Comisión </w:t>
      </w:r>
      <w:r>
        <w:t>y el Evaluador externo.</w:t>
      </w:r>
    </w:p>
    <w:p w14:paraId="03CE8535" w14:textId="77777777" w:rsidR="0012014A" w:rsidRPr="009856F8" w:rsidRDefault="0012014A" w:rsidP="0020529D">
      <w:pPr>
        <w:pStyle w:val="Prrafodelista"/>
        <w:spacing w:line="276" w:lineRule="auto"/>
        <w:ind w:right="1"/>
        <w:jc w:val="both"/>
        <w:rPr>
          <w:rFonts w:asciiTheme="minorHAnsi" w:hAnsiTheme="minorHAnsi" w:cstheme="minorHAnsi"/>
        </w:rPr>
      </w:pPr>
    </w:p>
    <w:p w14:paraId="42C10657" w14:textId="75205A34" w:rsidR="00826ABC" w:rsidRPr="009856F8" w:rsidRDefault="00ED445F" w:rsidP="009856F8">
      <w:pPr>
        <w:pStyle w:val="Prrafodelista"/>
        <w:numPr>
          <w:ilvl w:val="1"/>
          <w:numId w:val="7"/>
        </w:numPr>
        <w:spacing w:line="276" w:lineRule="auto"/>
        <w:ind w:right="1"/>
        <w:jc w:val="both"/>
        <w:rPr>
          <w:rFonts w:cs="Calibri"/>
          <w:b/>
          <w:bCs/>
        </w:rPr>
      </w:pPr>
      <w:r w:rsidRPr="009856F8">
        <w:rPr>
          <w:rFonts w:cs="Calibri"/>
          <w:b/>
          <w:bCs/>
        </w:rPr>
        <w:t>Sobre el desempeño del equipo evaluador</w:t>
      </w:r>
    </w:p>
    <w:p w14:paraId="069033C8" w14:textId="77777777" w:rsidR="00826ABC" w:rsidRPr="009856F8" w:rsidRDefault="00826ABC" w:rsidP="00826ABC">
      <w:pPr>
        <w:pStyle w:val="Prrafodelista"/>
        <w:spacing w:line="276" w:lineRule="auto"/>
        <w:ind w:left="360" w:right="1"/>
        <w:jc w:val="both"/>
        <w:rPr>
          <w:rFonts w:asciiTheme="minorHAnsi" w:hAnsiTheme="minorHAnsi" w:cstheme="minorHAnsi"/>
          <w:b/>
          <w:bCs/>
        </w:rPr>
      </w:pPr>
    </w:p>
    <w:p w14:paraId="75A3C8B4" w14:textId="0073FB14" w:rsidR="004420AB" w:rsidRPr="009856F8" w:rsidRDefault="004420AB" w:rsidP="008D1705">
      <w:pPr>
        <w:pStyle w:val="Prrafodelista"/>
        <w:numPr>
          <w:ilvl w:val="0"/>
          <w:numId w:val="3"/>
        </w:numPr>
        <w:spacing w:line="276" w:lineRule="auto"/>
        <w:ind w:right="1"/>
        <w:jc w:val="both"/>
        <w:rPr>
          <w:rFonts w:asciiTheme="minorHAnsi" w:hAnsiTheme="minorHAnsi" w:cstheme="minorHAnsi"/>
        </w:rPr>
      </w:pPr>
      <w:r w:rsidRPr="009856F8">
        <w:rPr>
          <w:rFonts w:asciiTheme="minorHAnsi" w:hAnsiTheme="minorHAnsi" w:cstheme="minorHAnsi"/>
        </w:rPr>
        <w:t xml:space="preserve">El informe final fue entregado de manera oportuna </w:t>
      </w:r>
      <w:r w:rsidR="00826ABC" w:rsidRPr="009856F8">
        <w:rPr>
          <w:rFonts w:asciiTheme="minorHAnsi" w:hAnsiTheme="minorHAnsi" w:cstheme="minorHAnsi"/>
        </w:rPr>
        <w:t>de acuerdo con</w:t>
      </w:r>
      <w:r w:rsidRPr="009856F8">
        <w:rPr>
          <w:rFonts w:asciiTheme="minorHAnsi" w:hAnsiTheme="minorHAnsi" w:cstheme="minorHAnsi"/>
        </w:rPr>
        <w:t xml:space="preserve"> lo pactado en el contrato de prestación de servicios.</w:t>
      </w:r>
    </w:p>
    <w:p w14:paraId="7B98E557" w14:textId="3BFEB4E9" w:rsidR="00826ABC" w:rsidRPr="009856F8" w:rsidRDefault="004420AB" w:rsidP="00826ABC">
      <w:pPr>
        <w:pStyle w:val="Prrafodelista"/>
        <w:numPr>
          <w:ilvl w:val="0"/>
          <w:numId w:val="3"/>
        </w:numPr>
        <w:spacing w:line="276" w:lineRule="auto"/>
        <w:ind w:right="1"/>
        <w:jc w:val="both"/>
        <w:rPr>
          <w:rFonts w:asciiTheme="minorHAnsi" w:hAnsiTheme="minorHAnsi" w:cstheme="minorHAnsi"/>
        </w:rPr>
      </w:pPr>
      <w:r w:rsidRPr="009856F8">
        <w:rPr>
          <w:rFonts w:asciiTheme="minorHAnsi" w:hAnsiTheme="minorHAnsi" w:cstheme="minorHAnsi"/>
        </w:rPr>
        <w:t xml:space="preserve">El informe final fue elaborado </w:t>
      </w:r>
      <w:r w:rsidR="00FC0F0D">
        <w:rPr>
          <w:rFonts w:asciiTheme="minorHAnsi" w:hAnsiTheme="minorHAnsi" w:cstheme="minorHAnsi"/>
        </w:rPr>
        <w:t xml:space="preserve">bajo </w:t>
      </w:r>
      <w:r w:rsidR="00FC0F0D" w:rsidRPr="009856F8">
        <w:rPr>
          <w:rFonts w:asciiTheme="minorHAnsi" w:hAnsiTheme="minorHAnsi" w:cstheme="minorHAnsi"/>
        </w:rPr>
        <w:t>los</w:t>
      </w:r>
      <w:r w:rsidRPr="009856F8">
        <w:rPr>
          <w:rFonts w:asciiTheme="minorHAnsi" w:hAnsiTheme="minorHAnsi" w:cstheme="minorHAnsi"/>
        </w:rPr>
        <w:t xml:space="preserve"> Términos de Referencia para la Evaluación al Desempeño, con un lenguaje claro y sencillo, con aspectos susceptibles de mejora</w:t>
      </w:r>
      <w:r w:rsidR="00455335" w:rsidRPr="009856F8">
        <w:rPr>
          <w:rFonts w:asciiTheme="minorHAnsi" w:hAnsiTheme="minorHAnsi" w:cstheme="minorHAnsi"/>
        </w:rPr>
        <w:t xml:space="preserve"> específicos y alcanzables en el corto plazo.</w:t>
      </w:r>
      <w:r w:rsidRPr="009856F8">
        <w:rPr>
          <w:rFonts w:asciiTheme="minorHAnsi" w:hAnsiTheme="minorHAnsi" w:cstheme="minorHAnsi"/>
        </w:rPr>
        <w:t xml:space="preserve"> </w:t>
      </w:r>
    </w:p>
    <w:p w14:paraId="3B680E79" w14:textId="19899823" w:rsidR="004420AB" w:rsidRPr="009856F8" w:rsidRDefault="005D0303" w:rsidP="00826ABC">
      <w:pPr>
        <w:pStyle w:val="Prrafodelista"/>
        <w:numPr>
          <w:ilvl w:val="0"/>
          <w:numId w:val="3"/>
        </w:numPr>
        <w:spacing w:line="276" w:lineRule="auto"/>
        <w:ind w:right="1"/>
        <w:jc w:val="both"/>
        <w:rPr>
          <w:rFonts w:asciiTheme="minorHAnsi" w:hAnsiTheme="minorHAnsi" w:cstheme="minorHAnsi"/>
        </w:rPr>
      </w:pPr>
      <w:r w:rsidRPr="009856F8">
        <w:rPr>
          <w:rFonts w:asciiTheme="minorHAnsi" w:hAnsiTheme="minorHAnsi" w:cstheme="minorHAnsi"/>
        </w:rPr>
        <w:t>El evaluador se desempeñó de manera eficiente, respetuosa y permitió la participación de los actores involucrados privilegiándose la comunicación y retroalimentación constante</w:t>
      </w:r>
      <w:r w:rsidR="00826ABC" w:rsidRPr="009856F8">
        <w:rPr>
          <w:rFonts w:asciiTheme="minorHAnsi" w:hAnsiTheme="minorHAnsi" w:cstheme="minorHAnsi"/>
        </w:rPr>
        <w:t>.</w:t>
      </w:r>
    </w:p>
    <w:sectPr w:rsidR="004420AB" w:rsidRPr="009856F8" w:rsidSect="00D05CDC">
      <w:headerReference w:type="default" r:id="rId8"/>
      <w:footerReference w:type="default" r:id="rId9"/>
      <w:headerReference w:type="first" r:id="rId10"/>
      <w:footerReference w:type="first" r:id="rId11"/>
      <w:pgSz w:w="12240" w:h="15840"/>
      <w:pgMar w:top="1701" w:right="158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3783B" w14:textId="77777777" w:rsidR="003D1C97" w:rsidRDefault="003D1C97" w:rsidP="008E5209">
      <w:pPr>
        <w:spacing w:after="0" w:line="240" w:lineRule="auto"/>
      </w:pPr>
      <w:r>
        <w:separator/>
      </w:r>
    </w:p>
  </w:endnote>
  <w:endnote w:type="continuationSeparator" w:id="0">
    <w:p w14:paraId="6B023184" w14:textId="77777777" w:rsidR="003D1C97" w:rsidRDefault="003D1C97"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berana Sans">
    <w:altName w:val="Times New Roman"/>
    <w:panose1 w:val="00000000000000000000"/>
    <w:charset w:val="00"/>
    <w:family w:val="swiss"/>
    <w:notTrueType/>
    <w:pitch w:val="default"/>
    <w:sig w:usb0="00000003" w:usb1="00000000" w:usb2="00000000" w:usb3="00000000" w:csb0="00000001" w:csb1="00000000"/>
  </w:font>
  <w:font w:name="Medium">
    <w:altName w:val="Calibri"/>
    <w:panose1 w:val="000000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053488033"/>
      <w:docPartObj>
        <w:docPartGallery w:val="Page Numbers (Bottom of Page)"/>
        <w:docPartUnique/>
      </w:docPartObj>
    </w:sdtPr>
    <w:sdtEndPr/>
    <w:sdtContent>
      <w:p w14:paraId="1A126E55" w14:textId="1117520D"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817A94">
          <w:rPr>
            <w:b/>
            <w:noProof/>
          </w:rPr>
          <w:t>4</w:t>
        </w:r>
        <w:r w:rsidRPr="00D05CDC">
          <w:rPr>
            <w:b/>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281087821"/>
      <w:docPartObj>
        <w:docPartGallery w:val="Page Numbers (Bottom of Page)"/>
        <w:docPartUnique/>
      </w:docPartObj>
    </w:sdtPr>
    <w:sdtEndPr/>
    <w:sdtContent>
      <w:p w14:paraId="7B9C6154" w14:textId="3DA44D07" w:rsidR="00D05CDC" w:rsidRPr="00D05CDC" w:rsidRDefault="00D05CDC" w:rsidP="00D05CDC">
        <w:pPr>
          <w:pStyle w:val="Piedepgina"/>
          <w:jc w:val="right"/>
          <w:rPr>
            <w:b/>
          </w:rPr>
        </w:pPr>
        <w:r w:rsidRPr="00D05CDC">
          <w:rPr>
            <w:b/>
          </w:rPr>
          <w:fldChar w:fldCharType="begin"/>
        </w:r>
        <w:r w:rsidRPr="00D05CDC">
          <w:rPr>
            <w:b/>
          </w:rPr>
          <w:instrText>PAGE   \* MERGEFORMAT</w:instrText>
        </w:r>
        <w:r w:rsidRPr="00D05CDC">
          <w:rPr>
            <w:b/>
          </w:rPr>
          <w:fldChar w:fldCharType="separate"/>
        </w:r>
        <w:r w:rsidR="00FC0F0D" w:rsidRPr="00FC0F0D">
          <w:rPr>
            <w:b/>
            <w:noProof/>
            <w:lang w:val="es-ES"/>
          </w:rPr>
          <w:t>1</w:t>
        </w:r>
        <w:r w:rsidRPr="00D05CDC">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543EC" w14:textId="77777777" w:rsidR="003D1C97" w:rsidRDefault="003D1C97" w:rsidP="008E5209">
      <w:pPr>
        <w:spacing w:after="0" w:line="240" w:lineRule="auto"/>
      </w:pPr>
      <w:r>
        <w:separator/>
      </w:r>
    </w:p>
  </w:footnote>
  <w:footnote w:type="continuationSeparator" w:id="0">
    <w:p w14:paraId="41EE52EB" w14:textId="77777777" w:rsidR="003D1C97" w:rsidRDefault="003D1C97"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D5AF8" w14:textId="60BA9E26" w:rsidR="00213BFA"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81792" behindDoc="0" locked="0" layoutInCell="1" allowOverlap="1" wp14:anchorId="3DFDB822" wp14:editId="498DD1E8">
          <wp:simplePos x="0" y="0"/>
          <wp:positionH relativeFrom="column">
            <wp:posOffset>-471805</wp:posOffset>
          </wp:positionH>
          <wp:positionV relativeFrom="paragraph">
            <wp:posOffset>-255270</wp:posOffset>
          </wp:positionV>
          <wp:extent cx="1924050" cy="653052"/>
          <wp:effectExtent l="0" t="0" r="0" b="0"/>
          <wp:wrapNone/>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8E507" w14:textId="66879F43" w:rsidR="0086126F" w:rsidRPr="00ED445F" w:rsidRDefault="00B53A27" w:rsidP="00B53A27">
    <w:pPr>
      <w:ind w:left="3828"/>
      <w:jc w:val="right"/>
      <w:rPr>
        <w:rFonts w:ascii="Medium" w:hAnsi="Medium" w:cs="Arial"/>
        <w:b/>
        <w:color w:val="404040" w:themeColor="text1" w:themeTint="BF"/>
        <w:sz w:val="26"/>
        <w:szCs w:val="26"/>
      </w:rPr>
    </w:pPr>
    <w:r w:rsidRPr="00ED445F">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727EEF78" wp14:editId="222F12DA">
          <wp:simplePos x="0" y="0"/>
          <wp:positionH relativeFrom="column">
            <wp:posOffset>-471805</wp:posOffset>
          </wp:positionH>
          <wp:positionV relativeFrom="paragraph">
            <wp:posOffset>-255270</wp:posOffset>
          </wp:positionV>
          <wp:extent cx="1924050" cy="653052"/>
          <wp:effectExtent l="0" t="0" r="0" b="0"/>
          <wp:wrapNone/>
          <wp:docPr id="39" name="Imagen 39"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Pr="00ED445F">
      <w:rPr>
        <w:rFonts w:ascii="Medium" w:hAnsi="Medium" w:cs="Arial"/>
        <w:b/>
        <w:color w:val="404040" w:themeColor="text1" w:themeTint="BF"/>
        <w:sz w:val="26"/>
        <w:szCs w:val="26"/>
      </w:rPr>
      <w:t>Documento de Posición Institucional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3340B"/>
    <w:multiLevelType w:val="hybridMultilevel"/>
    <w:tmpl w:val="B7ACCD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0177B09"/>
    <w:multiLevelType w:val="hybridMultilevel"/>
    <w:tmpl w:val="9EE402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63DE786B"/>
    <w:multiLevelType w:val="hybridMultilevel"/>
    <w:tmpl w:val="E3E2FF7C"/>
    <w:lvl w:ilvl="0" w:tplc="DE0032FE">
      <w:start w:val="1"/>
      <w:numFmt w:val="bullet"/>
      <w:lvlText w:val="•"/>
      <w:lvlJc w:val="left"/>
      <w:pPr>
        <w:tabs>
          <w:tab w:val="num" w:pos="720"/>
        </w:tabs>
        <w:ind w:left="720" w:hanging="360"/>
      </w:pPr>
      <w:rPr>
        <w:rFonts w:ascii="Arial" w:hAnsi="Arial" w:hint="default"/>
      </w:rPr>
    </w:lvl>
    <w:lvl w:ilvl="1" w:tplc="B0508EF0" w:tentative="1">
      <w:start w:val="1"/>
      <w:numFmt w:val="bullet"/>
      <w:lvlText w:val="•"/>
      <w:lvlJc w:val="left"/>
      <w:pPr>
        <w:tabs>
          <w:tab w:val="num" w:pos="1440"/>
        </w:tabs>
        <w:ind w:left="1440" w:hanging="360"/>
      </w:pPr>
      <w:rPr>
        <w:rFonts w:ascii="Arial" w:hAnsi="Arial" w:hint="default"/>
      </w:rPr>
    </w:lvl>
    <w:lvl w:ilvl="2" w:tplc="07C6AD9C" w:tentative="1">
      <w:start w:val="1"/>
      <w:numFmt w:val="bullet"/>
      <w:lvlText w:val="•"/>
      <w:lvlJc w:val="left"/>
      <w:pPr>
        <w:tabs>
          <w:tab w:val="num" w:pos="2160"/>
        </w:tabs>
        <w:ind w:left="2160" w:hanging="360"/>
      </w:pPr>
      <w:rPr>
        <w:rFonts w:ascii="Arial" w:hAnsi="Arial" w:hint="default"/>
      </w:rPr>
    </w:lvl>
    <w:lvl w:ilvl="3" w:tplc="C304095C" w:tentative="1">
      <w:start w:val="1"/>
      <w:numFmt w:val="bullet"/>
      <w:lvlText w:val="•"/>
      <w:lvlJc w:val="left"/>
      <w:pPr>
        <w:tabs>
          <w:tab w:val="num" w:pos="2880"/>
        </w:tabs>
        <w:ind w:left="2880" w:hanging="360"/>
      </w:pPr>
      <w:rPr>
        <w:rFonts w:ascii="Arial" w:hAnsi="Arial" w:hint="default"/>
      </w:rPr>
    </w:lvl>
    <w:lvl w:ilvl="4" w:tplc="7728CA9E" w:tentative="1">
      <w:start w:val="1"/>
      <w:numFmt w:val="bullet"/>
      <w:lvlText w:val="•"/>
      <w:lvlJc w:val="left"/>
      <w:pPr>
        <w:tabs>
          <w:tab w:val="num" w:pos="3600"/>
        </w:tabs>
        <w:ind w:left="3600" w:hanging="360"/>
      </w:pPr>
      <w:rPr>
        <w:rFonts w:ascii="Arial" w:hAnsi="Arial" w:hint="default"/>
      </w:rPr>
    </w:lvl>
    <w:lvl w:ilvl="5" w:tplc="89CE3A96" w:tentative="1">
      <w:start w:val="1"/>
      <w:numFmt w:val="bullet"/>
      <w:lvlText w:val="•"/>
      <w:lvlJc w:val="left"/>
      <w:pPr>
        <w:tabs>
          <w:tab w:val="num" w:pos="4320"/>
        </w:tabs>
        <w:ind w:left="4320" w:hanging="360"/>
      </w:pPr>
      <w:rPr>
        <w:rFonts w:ascii="Arial" w:hAnsi="Arial" w:hint="default"/>
      </w:rPr>
    </w:lvl>
    <w:lvl w:ilvl="6" w:tplc="DA7EC962" w:tentative="1">
      <w:start w:val="1"/>
      <w:numFmt w:val="bullet"/>
      <w:lvlText w:val="•"/>
      <w:lvlJc w:val="left"/>
      <w:pPr>
        <w:tabs>
          <w:tab w:val="num" w:pos="5040"/>
        </w:tabs>
        <w:ind w:left="5040" w:hanging="360"/>
      </w:pPr>
      <w:rPr>
        <w:rFonts w:ascii="Arial" w:hAnsi="Arial" w:hint="default"/>
      </w:rPr>
    </w:lvl>
    <w:lvl w:ilvl="7" w:tplc="31A61708" w:tentative="1">
      <w:start w:val="1"/>
      <w:numFmt w:val="bullet"/>
      <w:lvlText w:val="•"/>
      <w:lvlJc w:val="left"/>
      <w:pPr>
        <w:tabs>
          <w:tab w:val="num" w:pos="5760"/>
        </w:tabs>
        <w:ind w:left="5760" w:hanging="360"/>
      </w:pPr>
      <w:rPr>
        <w:rFonts w:ascii="Arial" w:hAnsi="Arial" w:hint="default"/>
      </w:rPr>
    </w:lvl>
    <w:lvl w:ilvl="8" w:tplc="D26E4B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6BE92820"/>
    <w:multiLevelType w:val="hybridMultilevel"/>
    <w:tmpl w:val="0FE2D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763E7668"/>
    <w:multiLevelType w:val="multilevel"/>
    <w:tmpl w:val="75D024E8"/>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77C05BD2"/>
    <w:multiLevelType w:val="multilevel"/>
    <w:tmpl w:val="B3EA9C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D2B4139"/>
    <w:multiLevelType w:val="multilevel"/>
    <w:tmpl w:val="B70E224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0"/>
  </w:num>
  <w:num w:numId="2">
    <w:abstractNumId w:val="1"/>
  </w:num>
  <w:num w:numId="3">
    <w:abstractNumId w:val="3"/>
  </w:num>
  <w:num w:numId="4">
    <w:abstractNumId w:val="2"/>
  </w:num>
  <w:num w:numId="5">
    <w:abstractNumId w:val="4"/>
  </w:num>
  <w:num w:numId="6">
    <w:abstractNumId w:val="5"/>
  </w:num>
  <w:num w:numId="7">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09"/>
    <w:rsid w:val="000001C1"/>
    <w:rsid w:val="00003CED"/>
    <w:rsid w:val="00003D1B"/>
    <w:rsid w:val="0001033D"/>
    <w:rsid w:val="000118B1"/>
    <w:rsid w:val="00017F38"/>
    <w:rsid w:val="000228F8"/>
    <w:rsid w:val="00022BCB"/>
    <w:rsid w:val="00023EAD"/>
    <w:rsid w:val="00024AE9"/>
    <w:rsid w:val="0003464C"/>
    <w:rsid w:val="00037498"/>
    <w:rsid w:val="00057C89"/>
    <w:rsid w:val="00063EAD"/>
    <w:rsid w:val="00067330"/>
    <w:rsid w:val="00072141"/>
    <w:rsid w:val="00075974"/>
    <w:rsid w:val="00076C94"/>
    <w:rsid w:val="00080258"/>
    <w:rsid w:val="00083A07"/>
    <w:rsid w:val="00084948"/>
    <w:rsid w:val="00091285"/>
    <w:rsid w:val="000935A4"/>
    <w:rsid w:val="000979A7"/>
    <w:rsid w:val="000A0543"/>
    <w:rsid w:val="000A1D0D"/>
    <w:rsid w:val="000A4397"/>
    <w:rsid w:val="000B745B"/>
    <w:rsid w:val="000C5759"/>
    <w:rsid w:val="000C7555"/>
    <w:rsid w:val="000C7DB8"/>
    <w:rsid w:val="000D764C"/>
    <w:rsid w:val="000F2D60"/>
    <w:rsid w:val="000F3AF6"/>
    <w:rsid w:val="000F6061"/>
    <w:rsid w:val="00102E69"/>
    <w:rsid w:val="00107559"/>
    <w:rsid w:val="00110F36"/>
    <w:rsid w:val="0011419F"/>
    <w:rsid w:val="0012014A"/>
    <w:rsid w:val="00121D44"/>
    <w:rsid w:val="00131E38"/>
    <w:rsid w:val="00145904"/>
    <w:rsid w:val="00157FD0"/>
    <w:rsid w:val="0016771F"/>
    <w:rsid w:val="00167840"/>
    <w:rsid w:val="001763CC"/>
    <w:rsid w:val="001800BD"/>
    <w:rsid w:val="00184CB5"/>
    <w:rsid w:val="001933A0"/>
    <w:rsid w:val="0019373C"/>
    <w:rsid w:val="00193C7B"/>
    <w:rsid w:val="00195309"/>
    <w:rsid w:val="00196B3C"/>
    <w:rsid w:val="001A0E6E"/>
    <w:rsid w:val="001B0AC5"/>
    <w:rsid w:val="001C0274"/>
    <w:rsid w:val="001C1825"/>
    <w:rsid w:val="001C5275"/>
    <w:rsid w:val="001C71F7"/>
    <w:rsid w:val="001D187A"/>
    <w:rsid w:val="001E390A"/>
    <w:rsid w:val="001E5983"/>
    <w:rsid w:val="001E66BD"/>
    <w:rsid w:val="001F0D23"/>
    <w:rsid w:val="001F2C2A"/>
    <w:rsid w:val="001F6318"/>
    <w:rsid w:val="0020020C"/>
    <w:rsid w:val="0020155A"/>
    <w:rsid w:val="002030DF"/>
    <w:rsid w:val="002051F1"/>
    <w:rsid w:val="0020529D"/>
    <w:rsid w:val="0021310E"/>
    <w:rsid w:val="00213BFA"/>
    <w:rsid w:val="00214062"/>
    <w:rsid w:val="00216895"/>
    <w:rsid w:val="00222217"/>
    <w:rsid w:val="00222DA5"/>
    <w:rsid w:val="00223D11"/>
    <w:rsid w:val="00230930"/>
    <w:rsid w:val="002312DF"/>
    <w:rsid w:val="00232E33"/>
    <w:rsid w:val="00233D0F"/>
    <w:rsid w:val="002356D5"/>
    <w:rsid w:val="00237511"/>
    <w:rsid w:val="0023762C"/>
    <w:rsid w:val="002422A9"/>
    <w:rsid w:val="002557B4"/>
    <w:rsid w:val="00256B08"/>
    <w:rsid w:val="00263C83"/>
    <w:rsid w:val="00264327"/>
    <w:rsid w:val="0026692D"/>
    <w:rsid w:val="002729A3"/>
    <w:rsid w:val="0027671B"/>
    <w:rsid w:val="002801B9"/>
    <w:rsid w:val="00281DFC"/>
    <w:rsid w:val="0028599A"/>
    <w:rsid w:val="002903FB"/>
    <w:rsid w:val="00293605"/>
    <w:rsid w:val="00294C62"/>
    <w:rsid w:val="00296056"/>
    <w:rsid w:val="002A02E3"/>
    <w:rsid w:val="002A29EE"/>
    <w:rsid w:val="002A318E"/>
    <w:rsid w:val="002B2C96"/>
    <w:rsid w:val="002B31C3"/>
    <w:rsid w:val="002B45DE"/>
    <w:rsid w:val="002D1AFC"/>
    <w:rsid w:val="002D3EA7"/>
    <w:rsid w:val="002D457E"/>
    <w:rsid w:val="002E1A84"/>
    <w:rsid w:val="002E2401"/>
    <w:rsid w:val="002E2A68"/>
    <w:rsid w:val="002E4405"/>
    <w:rsid w:val="002E607F"/>
    <w:rsid w:val="002E6DAC"/>
    <w:rsid w:val="002F378E"/>
    <w:rsid w:val="003041B9"/>
    <w:rsid w:val="00316A9C"/>
    <w:rsid w:val="00316C41"/>
    <w:rsid w:val="00323621"/>
    <w:rsid w:val="00325565"/>
    <w:rsid w:val="003270DD"/>
    <w:rsid w:val="00331966"/>
    <w:rsid w:val="00332B71"/>
    <w:rsid w:val="00332B81"/>
    <w:rsid w:val="003414E8"/>
    <w:rsid w:val="00342BB1"/>
    <w:rsid w:val="00345DBF"/>
    <w:rsid w:val="00351B94"/>
    <w:rsid w:val="0035474E"/>
    <w:rsid w:val="003578C1"/>
    <w:rsid w:val="003620D9"/>
    <w:rsid w:val="003671EF"/>
    <w:rsid w:val="00375FD1"/>
    <w:rsid w:val="003800F3"/>
    <w:rsid w:val="003867E1"/>
    <w:rsid w:val="003912B0"/>
    <w:rsid w:val="003931A4"/>
    <w:rsid w:val="003954C6"/>
    <w:rsid w:val="003964B5"/>
    <w:rsid w:val="003A46C1"/>
    <w:rsid w:val="003C3463"/>
    <w:rsid w:val="003C5B02"/>
    <w:rsid w:val="003D1C97"/>
    <w:rsid w:val="003E326B"/>
    <w:rsid w:val="003E4BAA"/>
    <w:rsid w:val="003E6E57"/>
    <w:rsid w:val="003F09A1"/>
    <w:rsid w:val="003F0AF3"/>
    <w:rsid w:val="003F2FF2"/>
    <w:rsid w:val="003F315D"/>
    <w:rsid w:val="003F34C5"/>
    <w:rsid w:val="003F5FE3"/>
    <w:rsid w:val="003F6BC2"/>
    <w:rsid w:val="00413C04"/>
    <w:rsid w:val="0041452B"/>
    <w:rsid w:val="00416CC1"/>
    <w:rsid w:val="00425911"/>
    <w:rsid w:val="00431E65"/>
    <w:rsid w:val="004327A3"/>
    <w:rsid w:val="004420AB"/>
    <w:rsid w:val="0044695A"/>
    <w:rsid w:val="00455335"/>
    <w:rsid w:val="004620A0"/>
    <w:rsid w:val="0047656A"/>
    <w:rsid w:val="00480476"/>
    <w:rsid w:val="0049271E"/>
    <w:rsid w:val="00495144"/>
    <w:rsid w:val="004A055F"/>
    <w:rsid w:val="004A30A1"/>
    <w:rsid w:val="004C10D1"/>
    <w:rsid w:val="004C1175"/>
    <w:rsid w:val="004C1F58"/>
    <w:rsid w:val="004C36DB"/>
    <w:rsid w:val="004D131A"/>
    <w:rsid w:val="004D31EC"/>
    <w:rsid w:val="004E5966"/>
    <w:rsid w:val="004F1261"/>
    <w:rsid w:val="0050641D"/>
    <w:rsid w:val="00510CF9"/>
    <w:rsid w:val="00531BE3"/>
    <w:rsid w:val="00531C3D"/>
    <w:rsid w:val="005369D7"/>
    <w:rsid w:val="00550AFC"/>
    <w:rsid w:val="00555F51"/>
    <w:rsid w:val="005565AC"/>
    <w:rsid w:val="00564E3C"/>
    <w:rsid w:val="005667F2"/>
    <w:rsid w:val="0056725C"/>
    <w:rsid w:val="00570309"/>
    <w:rsid w:val="00575727"/>
    <w:rsid w:val="00575F0B"/>
    <w:rsid w:val="005773F7"/>
    <w:rsid w:val="005826E6"/>
    <w:rsid w:val="005845F6"/>
    <w:rsid w:val="00585649"/>
    <w:rsid w:val="0058734A"/>
    <w:rsid w:val="0059649C"/>
    <w:rsid w:val="005A234F"/>
    <w:rsid w:val="005A2AEF"/>
    <w:rsid w:val="005B4A7B"/>
    <w:rsid w:val="005B6573"/>
    <w:rsid w:val="005B6E40"/>
    <w:rsid w:val="005C0CBC"/>
    <w:rsid w:val="005C47E6"/>
    <w:rsid w:val="005D0303"/>
    <w:rsid w:val="005E44FA"/>
    <w:rsid w:val="005F33CC"/>
    <w:rsid w:val="005F575E"/>
    <w:rsid w:val="00601986"/>
    <w:rsid w:val="00602B50"/>
    <w:rsid w:val="00603771"/>
    <w:rsid w:val="006123C0"/>
    <w:rsid w:val="0062578D"/>
    <w:rsid w:val="00630891"/>
    <w:rsid w:val="0065144E"/>
    <w:rsid w:val="0065719B"/>
    <w:rsid w:val="006629BF"/>
    <w:rsid w:val="00666BE5"/>
    <w:rsid w:val="00671A91"/>
    <w:rsid w:val="006807FF"/>
    <w:rsid w:val="0068293A"/>
    <w:rsid w:val="00690BCC"/>
    <w:rsid w:val="0069467B"/>
    <w:rsid w:val="006A18AF"/>
    <w:rsid w:val="006A3D81"/>
    <w:rsid w:val="006A631C"/>
    <w:rsid w:val="006C0CCC"/>
    <w:rsid w:val="006D4E80"/>
    <w:rsid w:val="006D5144"/>
    <w:rsid w:val="006E7E0D"/>
    <w:rsid w:val="006F3A57"/>
    <w:rsid w:val="006F69D9"/>
    <w:rsid w:val="006F6D4E"/>
    <w:rsid w:val="00700786"/>
    <w:rsid w:val="00702C7A"/>
    <w:rsid w:val="00705C1F"/>
    <w:rsid w:val="00707205"/>
    <w:rsid w:val="00717524"/>
    <w:rsid w:val="00720B4B"/>
    <w:rsid w:val="00723A9C"/>
    <w:rsid w:val="0073073B"/>
    <w:rsid w:val="00730743"/>
    <w:rsid w:val="00733EEE"/>
    <w:rsid w:val="00734B50"/>
    <w:rsid w:val="007450D4"/>
    <w:rsid w:val="00745E86"/>
    <w:rsid w:val="007513D2"/>
    <w:rsid w:val="007541F8"/>
    <w:rsid w:val="007610AB"/>
    <w:rsid w:val="00771385"/>
    <w:rsid w:val="007739DB"/>
    <w:rsid w:val="00782C22"/>
    <w:rsid w:val="00784BFB"/>
    <w:rsid w:val="007862E9"/>
    <w:rsid w:val="00792811"/>
    <w:rsid w:val="007967D9"/>
    <w:rsid w:val="007A0C17"/>
    <w:rsid w:val="007A0D4E"/>
    <w:rsid w:val="007A73AA"/>
    <w:rsid w:val="007A782D"/>
    <w:rsid w:val="007B4768"/>
    <w:rsid w:val="007C73EB"/>
    <w:rsid w:val="007D19D3"/>
    <w:rsid w:val="007D4353"/>
    <w:rsid w:val="007D7081"/>
    <w:rsid w:val="007E4A2A"/>
    <w:rsid w:val="007E5374"/>
    <w:rsid w:val="007E6949"/>
    <w:rsid w:val="007F5CA3"/>
    <w:rsid w:val="00801AE3"/>
    <w:rsid w:val="00803598"/>
    <w:rsid w:val="00812734"/>
    <w:rsid w:val="00817610"/>
    <w:rsid w:val="00817A94"/>
    <w:rsid w:val="008216F2"/>
    <w:rsid w:val="008220D2"/>
    <w:rsid w:val="00822FE3"/>
    <w:rsid w:val="00826ABC"/>
    <w:rsid w:val="00827FA5"/>
    <w:rsid w:val="0083413E"/>
    <w:rsid w:val="0083482F"/>
    <w:rsid w:val="008405A6"/>
    <w:rsid w:val="00843BB7"/>
    <w:rsid w:val="00855D89"/>
    <w:rsid w:val="00857815"/>
    <w:rsid w:val="0085799F"/>
    <w:rsid w:val="00860E2B"/>
    <w:rsid w:val="0086126F"/>
    <w:rsid w:val="00861D0A"/>
    <w:rsid w:val="008726E2"/>
    <w:rsid w:val="00874C99"/>
    <w:rsid w:val="0088276D"/>
    <w:rsid w:val="00882D04"/>
    <w:rsid w:val="008905B0"/>
    <w:rsid w:val="00890761"/>
    <w:rsid w:val="008A0BCB"/>
    <w:rsid w:val="008A0CB2"/>
    <w:rsid w:val="008C702A"/>
    <w:rsid w:val="008D08A8"/>
    <w:rsid w:val="008D1705"/>
    <w:rsid w:val="008D2433"/>
    <w:rsid w:val="008D739E"/>
    <w:rsid w:val="008E3483"/>
    <w:rsid w:val="008E5209"/>
    <w:rsid w:val="008F0494"/>
    <w:rsid w:val="008F1D6E"/>
    <w:rsid w:val="008F64B5"/>
    <w:rsid w:val="0091170D"/>
    <w:rsid w:val="009160E1"/>
    <w:rsid w:val="0092465C"/>
    <w:rsid w:val="009263AC"/>
    <w:rsid w:val="009263AE"/>
    <w:rsid w:val="00930172"/>
    <w:rsid w:val="00933602"/>
    <w:rsid w:val="00934890"/>
    <w:rsid w:val="009352D5"/>
    <w:rsid w:val="00936D55"/>
    <w:rsid w:val="00950021"/>
    <w:rsid w:val="0096110F"/>
    <w:rsid w:val="009768FB"/>
    <w:rsid w:val="0098300C"/>
    <w:rsid w:val="00983315"/>
    <w:rsid w:val="009856F8"/>
    <w:rsid w:val="0099090A"/>
    <w:rsid w:val="009A182A"/>
    <w:rsid w:val="009A3BA4"/>
    <w:rsid w:val="009B3B2B"/>
    <w:rsid w:val="009B5E2C"/>
    <w:rsid w:val="009B795A"/>
    <w:rsid w:val="009C2A50"/>
    <w:rsid w:val="009C5D0D"/>
    <w:rsid w:val="009C6FE2"/>
    <w:rsid w:val="009D58D9"/>
    <w:rsid w:val="009D6DFA"/>
    <w:rsid w:val="009D7FB9"/>
    <w:rsid w:val="009E7DF9"/>
    <w:rsid w:val="009F12A7"/>
    <w:rsid w:val="009F20AE"/>
    <w:rsid w:val="009F257D"/>
    <w:rsid w:val="00A0130B"/>
    <w:rsid w:val="00A06B19"/>
    <w:rsid w:val="00A06C49"/>
    <w:rsid w:val="00A12B2E"/>
    <w:rsid w:val="00A16C5A"/>
    <w:rsid w:val="00A2369A"/>
    <w:rsid w:val="00A3027C"/>
    <w:rsid w:val="00A30BA4"/>
    <w:rsid w:val="00A342A7"/>
    <w:rsid w:val="00A349AA"/>
    <w:rsid w:val="00A41EEE"/>
    <w:rsid w:val="00A45C63"/>
    <w:rsid w:val="00A46A7F"/>
    <w:rsid w:val="00A564F9"/>
    <w:rsid w:val="00A609A3"/>
    <w:rsid w:val="00A62C84"/>
    <w:rsid w:val="00A631C2"/>
    <w:rsid w:val="00A65303"/>
    <w:rsid w:val="00A707AE"/>
    <w:rsid w:val="00A7110A"/>
    <w:rsid w:val="00A74CCC"/>
    <w:rsid w:val="00A82DED"/>
    <w:rsid w:val="00A84C9A"/>
    <w:rsid w:val="00A97B59"/>
    <w:rsid w:val="00AA2447"/>
    <w:rsid w:val="00AA3309"/>
    <w:rsid w:val="00AA45DE"/>
    <w:rsid w:val="00AB5C90"/>
    <w:rsid w:val="00AC54AF"/>
    <w:rsid w:val="00AC620E"/>
    <w:rsid w:val="00AD0ADD"/>
    <w:rsid w:val="00AD4878"/>
    <w:rsid w:val="00AE0BD1"/>
    <w:rsid w:val="00AE4E69"/>
    <w:rsid w:val="00AE5C01"/>
    <w:rsid w:val="00B10612"/>
    <w:rsid w:val="00B20F0E"/>
    <w:rsid w:val="00B22ADF"/>
    <w:rsid w:val="00B24DE7"/>
    <w:rsid w:val="00B3544D"/>
    <w:rsid w:val="00B35EB8"/>
    <w:rsid w:val="00B435F5"/>
    <w:rsid w:val="00B4446C"/>
    <w:rsid w:val="00B5124C"/>
    <w:rsid w:val="00B51B31"/>
    <w:rsid w:val="00B53A27"/>
    <w:rsid w:val="00B614DF"/>
    <w:rsid w:val="00B71DBF"/>
    <w:rsid w:val="00B875B8"/>
    <w:rsid w:val="00B9328D"/>
    <w:rsid w:val="00BA1B67"/>
    <w:rsid w:val="00BA222E"/>
    <w:rsid w:val="00BA22E8"/>
    <w:rsid w:val="00BA4A59"/>
    <w:rsid w:val="00BA5D2B"/>
    <w:rsid w:val="00BB05A3"/>
    <w:rsid w:val="00BB0885"/>
    <w:rsid w:val="00BB130C"/>
    <w:rsid w:val="00BC1D23"/>
    <w:rsid w:val="00BC2055"/>
    <w:rsid w:val="00BC2B7A"/>
    <w:rsid w:val="00BC5E9C"/>
    <w:rsid w:val="00BD0258"/>
    <w:rsid w:val="00BD577F"/>
    <w:rsid w:val="00BE1BAD"/>
    <w:rsid w:val="00BE4329"/>
    <w:rsid w:val="00BE7166"/>
    <w:rsid w:val="00BF1C9C"/>
    <w:rsid w:val="00BF1D88"/>
    <w:rsid w:val="00BF1F13"/>
    <w:rsid w:val="00BF25EA"/>
    <w:rsid w:val="00BF698D"/>
    <w:rsid w:val="00C04B92"/>
    <w:rsid w:val="00C10020"/>
    <w:rsid w:val="00C103A7"/>
    <w:rsid w:val="00C17070"/>
    <w:rsid w:val="00C17101"/>
    <w:rsid w:val="00C2107C"/>
    <w:rsid w:val="00C30726"/>
    <w:rsid w:val="00C54827"/>
    <w:rsid w:val="00C66011"/>
    <w:rsid w:val="00C759BF"/>
    <w:rsid w:val="00C75A07"/>
    <w:rsid w:val="00C828B4"/>
    <w:rsid w:val="00C87ADB"/>
    <w:rsid w:val="00C9043F"/>
    <w:rsid w:val="00C90AAB"/>
    <w:rsid w:val="00C913B4"/>
    <w:rsid w:val="00C94C02"/>
    <w:rsid w:val="00C96DA9"/>
    <w:rsid w:val="00CA02AC"/>
    <w:rsid w:val="00CA10FD"/>
    <w:rsid w:val="00CA7074"/>
    <w:rsid w:val="00CB6CF8"/>
    <w:rsid w:val="00CC06EA"/>
    <w:rsid w:val="00CC489F"/>
    <w:rsid w:val="00CD34D2"/>
    <w:rsid w:val="00CE57DE"/>
    <w:rsid w:val="00CF511B"/>
    <w:rsid w:val="00CF57AE"/>
    <w:rsid w:val="00D02A3D"/>
    <w:rsid w:val="00D05CDC"/>
    <w:rsid w:val="00D10D79"/>
    <w:rsid w:val="00D1436F"/>
    <w:rsid w:val="00D15AF3"/>
    <w:rsid w:val="00D16047"/>
    <w:rsid w:val="00D2217D"/>
    <w:rsid w:val="00D22986"/>
    <w:rsid w:val="00D24595"/>
    <w:rsid w:val="00D25EA5"/>
    <w:rsid w:val="00D31A79"/>
    <w:rsid w:val="00D33ED2"/>
    <w:rsid w:val="00D472C0"/>
    <w:rsid w:val="00D54A9B"/>
    <w:rsid w:val="00D557F6"/>
    <w:rsid w:val="00D617BA"/>
    <w:rsid w:val="00D63AE8"/>
    <w:rsid w:val="00D70FB5"/>
    <w:rsid w:val="00D71101"/>
    <w:rsid w:val="00D77276"/>
    <w:rsid w:val="00D8309E"/>
    <w:rsid w:val="00D92C2B"/>
    <w:rsid w:val="00D92DBC"/>
    <w:rsid w:val="00DA1D55"/>
    <w:rsid w:val="00DA69EA"/>
    <w:rsid w:val="00DA6B5F"/>
    <w:rsid w:val="00DA6D7B"/>
    <w:rsid w:val="00DB29CD"/>
    <w:rsid w:val="00DB38E0"/>
    <w:rsid w:val="00DB4D27"/>
    <w:rsid w:val="00DB7D6F"/>
    <w:rsid w:val="00DD1B80"/>
    <w:rsid w:val="00DD2500"/>
    <w:rsid w:val="00DE333B"/>
    <w:rsid w:val="00DE3EC0"/>
    <w:rsid w:val="00DE3ED5"/>
    <w:rsid w:val="00DE6415"/>
    <w:rsid w:val="00DE7F06"/>
    <w:rsid w:val="00DF0203"/>
    <w:rsid w:val="00DF12BB"/>
    <w:rsid w:val="00DF162C"/>
    <w:rsid w:val="00E0038A"/>
    <w:rsid w:val="00E01194"/>
    <w:rsid w:val="00E02A2F"/>
    <w:rsid w:val="00E055EA"/>
    <w:rsid w:val="00E107F2"/>
    <w:rsid w:val="00E1147B"/>
    <w:rsid w:val="00E12CA5"/>
    <w:rsid w:val="00E1388F"/>
    <w:rsid w:val="00E17565"/>
    <w:rsid w:val="00E236DA"/>
    <w:rsid w:val="00E474E8"/>
    <w:rsid w:val="00E4783D"/>
    <w:rsid w:val="00E529A2"/>
    <w:rsid w:val="00E55352"/>
    <w:rsid w:val="00E66462"/>
    <w:rsid w:val="00E85EDC"/>
    <w:rsid w:val="00E91A09"/>
    <w:rsid w:val="00E95051"/>
    <w:rsid w:val="00EA4287"/>
    <w:rsid w:val="00EB345E"/>
    <w:rsid w:val="00EB6C57"/>
    <w:rsid w:val="00EC21F6"/>
    <w:rsid w:val="00EC3814"/>
    <w:rsid w:val="00EC63B6"/>
    <w:rsid w:val="00ED0FAB"/>
    <w:rsid w:val="00ED12C1"/>
    <w:rsid w:val="00ED2843"/>
    <w:rsid w:val="00ED445F"/>
    <w:rsid w:val="00EE0924"/>
    <w:rsid w:val="00EE32E3"/>
    <w:rsid w:val="00EF1B0D"/>
    <w:rsid w:val="00EF79E5"/>
    <w:rsid w:val="00F0320D"/>
    <w:rsid w:val="00F16821"/>
    <w:rsid w:val="00F16885"/>
    <w:rsid w:val="00F21F3D"/>
    <w:rsid w:val="00F24D1A"/>
    <w:rsid w:val="00F2576D"/>
    <w:rsid w:val="00F26D0B"/>
    <w:rsid w:val="00F33E30"/>
    <w:rsid w:val="00F36ECC"/>
    <w:rsid w:val="00F46C22"/>
    <w:rsid w:val="00F51A08"/>
    <w:rsid w:val="00F60503"/>
    <w:rsid w:val="00F75E9D"/>
    <w:rsid w:val="00F77312"/>
    <w:rsid w:val="00F8367D"/>
    <w:rsid w:val="00F92BAE"/>
    <w:rsid w:val="00F963E2"/>
    <w:rsid w:val="00FA04A3"/>
    <w:rsid w:val="00FA1BB9"/>
    <w:rsid w:val="00FA5769"/>
    <w:rsid w:val="00FA7D41"/>
    <w:rsid w:val="00FB0820"/>
    <w:rsid w:val="00FB1BFB"/>
    <w:rsid w:val="00FB1F72"/>
    <w:rsid w:val="00FB204C"/>
    <w:rsid w:val="00FB26D4"/>
    <w:rsid w:val="00FB4127"/>
    <w:rsid w:val="00FC0F0D"/>
    <w:rsid w:val="00FC30E6"/>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BD291"/>
  <w15:docId w15:val="{5DB8592C-23CB-4D82-B516-678D74D55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D55"/>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0935A4"/>
    <w:rPr>
      <w:color w:val="605E5C"/>
      <w:shd w:val="clear" w:color="auto" w:fill="E1DFDD"/>
    </w:rPr>
  </w:style>
  <w:style w:type="paragraph" w:customStyle="1" w:styleId="Cdetextonegrita">
    <w:name w:val="C. de texto negrita"/>
    <w:basedOn w:val="Normal"/>
    <w:qFormat/>
    <w:rsid w:val="00EE0924"/>
    <w:pPr>
      <w:spacing w:after="120" w:line="240" w:lineRule="auto"/>
      <w:jc w:val="both"/>
    </w:pPr>
    <w:rPr>
      <w:rFonts w:ascii="Soberana Sans" w:eastAsia="Times New Roman" w:hAnsi="Soberana Sans" w:cs="Arial"/>
      <w:b/>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7832247">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176267652">
      <w:bodyDiv w:val="1"/>
      <w:marLeft w:val="0"/>
      <w:marRight w:val="0"/>
      <w:marTop w:val="0"/>
      <w:marBottom w:val="0"/>
      <w:divBdr>
        <w:top w:val="none" w:sz="0" w:space="0" w:color="auto"/>
        <w:left w:val="none" w:sz="0" w:space="0" w:color="auto"/>
        <w:bottom w:val="none" w:sz="0" w:space="0" w:color="auto"/>
        <w:right w:val="none" w:sz="0" w:space="0" w:color="auto"/>
      </w:divBdr>
      <w:divsChild>
        <w:div w:id="1255548986">
          <w:marLeft w:val="274"/>
          <w:marRight w:val="0"/>
          <w:marTop w:val="0"/>
          <w:marBottom w:val="0"/>
          <w:divBdr>
            <w:top w:val="none" w:sz="0" w:space="0" w:color="auto"/>
            <w:left w:val="none" w:sz="0" w:space="0" w:color="auto"/>
            <w:bottom w:val="none" w:sz="0" w:space="0" w:color="auto"/>
            <w:right w:val="none" w:sz="0" w:space="0" w:color="auto"/>
          </w:divBdr>
        </w:div>
        <w:div w:id="1483934631">
          <w:marLeft w:val="274"/>
          <w:marRight w:val="0"/>
          <w:marTop w:val="0"/>
          <w:marBottom w:val="0"/>
          <w:divBdr>
            <w:top w:val="none" w:sz="0" w:space="0" w:color="auto"/>
            <w:left w:val="none" w:sz="0" w:space="0" w:color="auto"/>
            <w:bottom w:val="none" w:sz="0" w:space="0" w:color="auto"/>
            <w:right w:val="none" w:sz="0" w:space="0" w:color="auto"/>
          </w:divBdr>
        </w:div>
        <w:div w:id="1287196465">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2926594">
      <w:bodyDiv w:val="1"/>
      <w:marLeft w:val="0"/>
      <w:marRight w:val="0"/>
      <w:marTop w:val="0"/>
      <w:marBottom w:val="0"/>
      <w:divBdr>
        <w:top w:val="none" w:sz="0" w:space="0" w:color="auto"/>
        <w:left w:val="none" w:sz="0" w:space="0" w:color="auto"/>
        <w:bottom w:val="none" w:sz="0" w:space="0" w:color="auto"/>
        <w:right w:val="none" w:sz="0" w:space="0" w:color="auto"/>
      </w:divBdr>
      <w:divsChild>
        <w:div w:id="949164934">
          <w:marLeft w:val="274"/>
          <w:marRight w:val="0"/>
          <w:marTop w:val="0"/>
          <w:marBottom w:val="0"/>
          <w:divBdr>
            <w:top w:val="none" w:sz="0" w:space="0" w:color="auto"/>
            <w:left w:val="none" w:sz="0" w:space="0" w:color="auto"/>
            <w:bottom w:val="none" w:sz="0" w:space="0" w:color="auto"/>
            <w:right w:val="none" w:sz="0" w:space="0" w:color="auto"/>
          </w:divBdr>
        </w:div>
      </w:divsChild>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34F88-4C8B-417B-A294-AA1B957D6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4</Pages>
  <Words>998</Words>
  <Characters>5494</Characters>
  <Application>Microsoft Office Word</Application>
  <DocSecurity>0</DocSecurity>
  <Lines>45</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CLSinaloa</dc:creator>
  <cp:lastModifiedBy>Jesus Machado</cp:lastModifiedBy>
  <cp:revision>14</cp:revision>
  <cp:lastPrinted>2024-06-27T02:31:00Z</cp:lastPrinted>
  <dcterms:created xsi:type="dcterms:W3CDTF">2024-12-30T02:18:00Z</dcterms:created>
  <dcterms:modified xsi:type="dcterms:W3CDTF">2025-01-09T17:58:00Z</dcterms:modified>
</cp:coreProperties>
</file>